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VersAusglG — Geringfügigkeit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Familiengericht soll beiderseitige Anrechte gleicher Art nicht ausgleichen, wenn die Differenz ihrer Ausgleichswerte gering ist.</w:t>
      </w:r>
    </w:p>
    <w:p>
      <w:r>
        <w:t xml:space="preserve">(2) Einzelne Anrechte mit einem geringen Ausgleichswert soll das Familiengericht nicht ausgleichen.</w:t>
      </w:r>
    </w:p>
    <w:p>
      <w:r>
        <w:t xml:space="preserve">(3) Ein Wertunterschied nach Absatz 1 oder ein Ausgleichswert nach Absatz 2 ist gering, wenn er am Ende der Ehezeit bei einem Rentenbetrag als maßgeblicher Bezugsgröße höchstens 1 Prozent, in allen anderen Fällen als Kapitalwert höchstens 120 Prozent der monatlichen Bezugsgröße nach § 18 Abs. 1 des Vierten Buches Sozialgesetzbuch beträgt.</w:t>
      </w:r>
    </w:p>
    <w:p>
      <w:r>
        <w:rPr>
          <w:color w:val="555555"/>
          <w:sz w:val="17"/>
        </w:rPr>
        <w:t xml:space="preserve">Zitiervorschlag: § 18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