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VersAusglG — Externe Teilung von Anrechten aus einem öffentlich-rechtlichen Dienst- oder Amtsverhältnis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Solange der Träger einer Versorgung aus einem öffentlich-rechtlichen Dienst- oder Amtsverhältnis keine interne Teilung vorsieht, ist ein dort bestehendes Anrecht zu dessen Lasten durch Begründung eines Anrechts bei einem Träger der gesetzlichen Rentenversicherung auszugleichen.</w:t>
      </w:r>
    </w:p>
    <w:p>
      <w:r>
        <w:t xml:space="preserve">(2) Anrechte aus einem Beamtenverhältnis auf Widerruf sowie aus einem Dienstverhältnis einer Soldatin oder eines Soldaten auf Zeit sind stets durch Begründung eines Anrechts in der gesetzlichen Rentenversicherung auszugleichen.</w:t>
      </w:r>
    </w:p>
    <w:p>
      <w:r>
        <w:t xml:space="preserve">(3) Das Familiengericht ordnet an, den Ausgleichswert in Entgeltpunkte umzurechnen.</w:t>
      </w:r>
    </w:p>
    <w:p>
      <w:r>
        <w:rPr>
          <w:color w:val="555555"/>
          <w:sz w:val="17"/>
        </w:rPr>
        <w:t xml:space="preserve">Zitiervorschlag: § 16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