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VersAusglG — Externe Teilung</w:t>
      </w:r>
    </w:p>
    <w:p>
      <w:r>
        <w:rPr>
          <w:color w:val="555555"/>
          <w:sz w:val="18"/>
        </w:rPr>
        <w:t xml:space="preserve">Versorgungsausgleichsgesetz</w:t>
      </w:r>
    </w:p>
    <w:p>
      <w:r>
        <w:rPr>
          <w:color w:val="555555"/>
          <w:sz w:val="18"/>
        </w:rPr>
        <w:t xml:space="preserve">Stand: 01.08.2021 (konsolidierte Textfassung, kein amtliches Inkrafttretensdatum)</w:t>
      </w:r>
    </w:p>
    <w:p>
      <w:r>
        <w:t xml:space="preserve">(1) Das Familiengericht begründet für die ausgleichsberechtigte Person zulasten des Anrechts der ausgleichspflichtigen Person ein Anrecht in Höhe des Ausgleichswerts bei einem anderen Versorgungsträger als demjenigen, bei dem das Anrecht der ausgleichspflichtigen Person besteht (externe Teilung).</w:t>
      </w:r>
    </w:p>
    <w:p>
      <w:r>
        <w:t xml:space="preserve">(2) Eine externe Teilung ist nur durchzuführen, wenn</w:t>
      </w:r>
    </w:p>
    <w:p>
      <w:pPr>
        <w:ind w:left="420"/>
      </w:pPr>
      <w:r>
        <w:t xml:space="preserve">1. die ausgleichsberechtigte Person und der Versorgungsträger der ausgleichspflichtigen Person eine externe Teilung vereinbaren oder</w:t>
      </w:r>
    </w:p>
    <w:p>
      <w:pPr>
        <w:ind w:left="420"/>
      </w:pPr>
      <w:r>
        <w:t xml:space="preserve">2. der Versorgungsträger der ausgleichspflichtigen Person eine externe Teilung verlangt und der Ausgleichswert am Ende der Ehezeit bei einem Rentenbetrag als maßgeblicher Bezugsgröße höchstens 2 Prozent, in allen anderen Fällen als Kapitalwert höchstens 240 Prozent der monatlichen Bezugsgröße nach § 18 Abs. 1 des Vierten Buches Sozialgesetzbuch beträgt; sind mehrere Anrechte im Sinne des Betriebsrentengesetzes bei einem Versorgungsträger auszugleichen, so ist die Summe der Ausgleichswerte der Anrechte maßgeblich, deren externe Teilung der Versorgungsträger verlangt.</w:t>
      </w:r>
    </w:p>
    <w:p>
      <w:r>
        <w:t xml:space="preserve">(3) § 10 Abs. 3 gilt entsprechend.</w:t>
      </w:r>
    </w:p>
    <w:p>
      <w:r>
        <w:t xml:space="preserve">(4) Der Versorgungsträger der ausgleichspflichtigen Person hat den Ausgleichswert als Kapitalbetrag an den Versorgungsträger der ausgleichsberechtigten Person zu zahlen.</w:t>
      </w:r>
    </w:p>
    <w:p>
      <w:r>
        <w:t xml:space="preserve">(5) Eine externe Teilung ist unzulässig, wenn ein Anrecht durch Beitragszahlung nicht mehr begründet werden kann.</w:t>
      </w:r>
    </w:p>
    <w:p>
      <w:r>
        <w:rPr>
          <w:color w:val="555555"/>
          <w:sz w:val="17"/>
        </w:rPr>
        <w:t xml:space="preserve">Zitiervorschlag: § 14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