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VersAusglG — Anforderungen an die interne Teilung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interne Teilung muss die gleichwertige Teilhabe der Ehegatten an den in der Ehezeit erworbenen Anrechten sicherstellen. Dies ist gewährleistet, wenn im Vergleich zum Anrecht der ausgleichspflichtigen Person</w:t>
      </w:r>
    </w:p>
    <w:p>
      <w:pPr>
        <w:ind w:left="420"/>
      </w:pPr>
      <w:r>
        <w:t xml:space="preserve">1. für die ausgleichsberechtigte Person ein eigenständiges und entsprechend gesichertes Anrecht übertragen wird,</w:t>
      </w:r>
    </w:p>
    <w:p>
      <w:pPr>
        <w:ind w:left="420"/>
      </w:pPr>
      <w:r>
        <w:t xml:space="preserve">2. ein Anrecht in Höhe des Ausgleichswerts mit vergleichbarer Wertentwicklung entsteht und</w:t>
      </w:r>
    </w:p>
    <w:p>
      <w:pPr>
        <w:ind w:left="420"/>
      </w:pPr>
      <w:r>
        <w:t xml:space="preserve">3. der gleiche Risikoschutz gewährt wird; der Versorgungsträger kann den Risikoschutz auf eine Altersversorgung beschränken, wenn er für das nicht abgesicherte Risiko einen zusätzlichen Ausgleich bei der Altersversorgung schafft.</w:t>
      </w:r>
    </w:p>
    <w:p>
      <w:r>
        <w:t xml:space="preserve">(2) Für das Anrecht der ausgleichsberechtigten Person gelten die Regelungen über das Anrecht der ausgleichspflichtigen Person entsprechend, soweit nicht besondere Regelungen für den Versorgungsausgleich bestehen.</w:t>
      </w:r>
    </w:p>
    <w:p>
      <w:r>
        <w:rPr>
          <w:color w:val="555555"/>
          <w:sz w:val="17"/>
        </w:rPr>
        <w:t xml:space="preserve">Zitiervorschlag: § 11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