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VersAusglG — Halbteilung der Anrechte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Versorgungsausgleich sind die in der Ehezeit erworbenen Anteile von Anrechten (Ehezeitanteile) jeweils zur Hälfte zwischen den geschiedenen Ehegatten zu teilen.</w:t>
      </w:r>
    </w:p>
    <w:p>
      <w:r>
        <w:t xml:space="preserve">(2) Ausgleichspflichtige Person im Sinne dieses Gesetzes ist diejenige, die einen Ehezeitanteil erworben hat. Der ausgleichsberechtigten Person steht die Hälfte des Werts des jeweiligen Ehezeitanteils (Ausgleichswert) zu.</w:t>
      </w:r>
    </w:p>
    <w:p>
      <w:r>
        <w:rPr>
          <w:color w:val="555555"/>
          <w:sz w:val="17"/>
        </w:rPr>
        <w:t xml:space="preserve">Zitiervorschlag: § 1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