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VersAusgl-AnzV</w:t>
      </w:r>
    </w:p>
    <w:p>
      <w:r>
        <w:rPr>
          <w:color w:val="555555"/>
          <w:sz w:val="18"/>
        </w:rPr>
        <w:t xml:space="preserve">Versicherungs-Ausgliederungsanzeigenverordnung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Auf Grund des § 34 Absatz 3 auch in Verbindung mit § 237 Absatz 1 Satz 1 des Versicherungsaufsichtsgesetzes, von denen § 34 Absatz 3 durch Artikel 7 Nummer 3 des Gesetzes vom 3. Juni 2021 (BGBl. I S. 1534) eingefügt worden ist, in Verbindung mit § 1a Nummer 1 der Verordnung zur Übertragung von Befugnissen zum Erlass von Rechtsverordnungen auf die Bundesanstalt für Finanzdienstleistungsaufsicht vom 13. Dezember 2002 (BGBl. 2003 I S. 3), der zuletzt durch Artikel 1 Nummer 1 der Verordnung vom 22. Dezember 2021 (BGBl. I S. 5256)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VersAusgl-AnzV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https://recht.nulegal.eu/gesetze/VersAusgl-AnzV/eingangsformel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