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VersAusgl-AnzV — Inkrafttreten</w:t>
      </w:r>
    </w:p>
    <w:p>
      <w:r>
        <w:rPr>
          <w:color w:val="555555"/>
          <w:sz w:val="18"/>
        </w:rPr>
        <w:t xml:space="preserve">Versicherungs-Ausgliederungsanzeigenverordnung</w:t>
      </w:r>
    </w:p>
    <w:p>
      <w:r>
        <w:rPr>
          <w:color w:val="555555"/>
          <w:sz w:val="18"/>
        </w:rPr>
        <w:t xml:space="preserve">Stand: 29.11.2022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6 VersAusgl-AnzV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https://recht.nulegal.eu/gesetze/VersAusgl-AnzV/6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