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VersAusgl-AnzV — Zurückweisung von Anzeigen und Unterlagen</w:t>
      </w:r>
    </w:p>
    <w:p>
      <w:r>
        <w:rPr>
          <w:color w:val="555555"/>
          <w:sz w:val="18"/>
        </w:rPr>
        <w:t xml:space="preserve">Versicherungs-Ausgliederungsanzeigenverordnung</w:t>
      </w:r>
    </w:p>
    <w:p>
      <w:r>
        <w:rPr>
          <w:color w:val="555555"/>
          <w:sz w:val="18"/>
        </w:rPr>
        <w:t xml:space="preserve">Stand: 29.11.2022 (konsolidierte Textfassung, kein amtliches Inkrafttretensdatum)</w:t>
      </w:r>
    </w:p>
    <w:p>
      <w:r>
        <w:t xml:space="preserve">(1) Die Bundesanstalt weist Datensätze zur Übermittlung von Anzeigen und Unterlagen nach den §§ 2 und 3 Absatz 1 zurück wenn,</w:t>
      </w:r>
    </w:p>
    <w:p>
      <w:pPr>
        <w:ind w:left="420"/>
      </w:pPr>
      <w:r>
        <w:t xml:space="preserve">1. die Datensätze nicht die von ihr festgelegten Datenformate einhalten oder</w:t>
      </w:r>
    </w:p>
    <w:p>
      <w:pPr>
        <w:ind w:left="420"/>
      </w:pPr>
      <w:r>
        <w:t xml:space="preserve">2. keine Unternehmenskennung nach § 4 Absatz 3 angegeben ist.</w:t>
      </w:r>
    </w:p>
    <w:p>
      <w:r>
        <w:t xml:space="preserve">(2) Zurückgewiesene Anzeigen und Unterlagen gelten als nicht übermittelt. Die Nachricht über eine Zurückweisung ist in der Melde- und Veröffentlichungsplattform der Bundesanstalt abrufbar.</w:t>
      </w:r>
    </w:p>
    <w:p>
      <w:r>
        <w:rPr>
          <w:color w:val="555555"/>
          <w:sz w:val="17"/>
        </w:rPr>
        <w:t xml:space="preserve">Zitiervorschlag: § 5 VersAusgl-AnzV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https://recht.nulegal.eu/gesetze/VersAusgl-AnzV/5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