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VersAusgl-AnzV — Anzeigen nach § 47 Nummer 9 des Versicherungsaufsichtsgesetzes</w:t>
      </w:r>
    </w:p>
    <w:p>
      <w:r>
        <w:rPr>
          <w:color w:val="555555"/>
          <w:sz w:val="18"/>
        </w:rPr>
        <w:t xml:space="preserve">Versicherungs-Ausgliederungsanzeigenverordnung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(1) Wesentliche nach Vertragsschluss eingetretene Umstände, die die in § 1 genannten Unternehmen nach § 47 Nummer 9 des Versicherungsaufsichtsgesetzes anzuzeigen haben, sind insbesondere</w:t>
      </w:r>
    </w:p>
    <w:p>
      <w:pPr>
        <w:ind w:left="420"/>
      </w:pPr>
      <w:r>
        <w:t xml:space="preserve">1. Vertragsänderungen von wesentlicher Bedeutung,</w:t>
      </w:r>
    </w:p>
    <w:p>
      <w:pPr>
        <w:ind w:left="420"/>
      </w:pPr>
      <w:r>
        <w:t xml:space="preserve">2. die Vereinbarung zusätzlicher wesentlicher vertraglicher Regelungen, insbesondere die Vereinbarung von zusätzlichen Leistungen,</w:t>
      </w:r>
    </w:p>
    <w:p>
      <w:pPr>
        <w:ind w:left="420"/>
      </w:pPr>
      <w:r>
        <w:t xml:space="preserve">3. die Änderung der Bewertung, ob eine Ausgliederung als wichtig oder unwichtig einzustufen ist,</w:t>
      </w:r>
    </w:p>
    <w:p>
      <w:pPr>
        <w:ind w:left="420"/>
      </w:pPr>
      <w:r>
        <w:t xml:space="preserve">4. wesentliche Abweichungen, die sich aus einer neuen oder geänderten Risikoanalyse bezüglich der Ausgliederung ergeben,</w:t>
      </w:r>
    </w:p>
    <w:p>
      <w:pPr>
        <w:ind w:left="420"/>
      </w:pPr>
      <w:r>
        <w:t xml:space="preserve">5. neue Subdelegationen bezüglich wesentlicher Teile einer wichtigen Funktion oder Versicherungstätigkeit,</w:t>
      </w:r>
    </w:p>
    <w:p>
      <w:pPr>
        <w:ind w:left="420"/>
      </w:pPr>
      <w:r>
        <w:t xml:space="preserve">6. die Änderung der Einschätzung zur Ersetzbarkeit des Dienstleisters,</w:t>
      </w:r>
    </w:p>
    <w:p>
      <w:pPr>
        <w:ind w:left="420"/>
      </w:pPr>
      <w:r>
        <w:t xml:space="preserve">7. nach Vertragsschluss erbrachte Dienstleistungen in Drittstaaten durch den Dienstleister oder seine Subdienstleister,</w:t>
      </w:r>
    </w:p>
    <w:p>
      <w:pPr>
        <w:ind w:left="420"/>
      </w:pPr>
      <w:r>
        <w:t xml:space="preserve">8. die ordentliche oder außerordentliche Kündigung des Ausgliederungsvertrages bei unbefristeten Verträgen oder vor Ablauf der Vertragslaufzeit,</w:t>
      </w:r>
    </w:p>
    <w:p>
      <w:pPr>
        <w:ind w:left="420"/>
      </w:pPr>
      <w:r>
        <w:t xml:space="preserve">9. die Übernahme der Kontrolle über den Dienstleister durch ein anderes Unternehmen nach Kenntnis,</w:t>
      </w:r>
    </w:p>
    <w:p>
      <w:pPr>
        <w:ind w:left="420"/>
      </w:pPr>
      <w:r>
        <w:t xml:space="preserve">10. der Wechsel der Person, die im Fall der Ausgliederung einer Schlüsselfunktion oder einer selbst definierten Schlüsselaufgabe beim Dienstleister hierfür zuständig ist.</w:t>
      </w:r>
    </w:p>
    <w:p>
      <w:r>
        <w:t xml:space="preserve">(2) Nach Vertragsschluss eingetretene wesentliche Umstände im Sinne des § 47 Nummer 9 des Versicherungsaufsichtsgesetzes sind auch solche Umstände, die die Fortführung der Geschäftstätigkeit des Unternehmens beeinträchtigen können, insbesondere</w:t>
      </w:r>
    </w:p>
    <w:p>
      <w:pPr>
        <w:ind w:left="420"/>
      </w:pPr>
      <w:r>
        <w:t xml:space="preserve">1. nicht nur kurzfristige Unterbrechung oder Unmöglichkeit der Erbringung der Dienstleistung,</w:t>
      </w:r>
    </w:p>
    <w:p>
      <w:pPr>
        <w:ind w:left="420"/>
      </w:pPr>
      <w:r>
        <w:t xml:space="preserve">2. erhebliche Vertragsverletzungen durch den Dienstleister,</w:t>
      </w:r>
    </w:p>
    <w:p>
      <w:pPr>
        <w:ind w:left="420"/>
      </w:pPr>
      <w:r>
        <w:t xml:space="preserve">3. erhebliche Rechtsverstöße, insbesondere durch den Wegfall der aufsichtsrechtlichen Voraussetzungen der Ausgliederung nach § 32 des Versicherungsaufsichtsgesetzes, die umfassende Einschränkung von Informations- und Prüfrechten des Unternehmens oder der Aufsichtsbehörde oder Verstöße des Dienstleisters gegen datenschutzrechtliche Bestimmungen,</w:t>
      </w:r>
    </w:p>
    <w:p>
      <w:pPr>
        <w:ind w:left="420"/>
      </w:pPr>
      <w:r>
        <w:t xml:space="preserve">4. die fehlende oder nur sehr unzureichende Bereitschaft des Dienstleisters, aufsichtliche Anordnungen umzusetzen oder an deren Umsetzung mitzuwirken, insbesondere im Rahmen der Beseitigung und Vermeidung von Missständen,</w:t>
      </w:r>
    </w:p>
    <w:p>
      <w:pPr>
        <w:ind w:left="420"/>
      </w:pPr>
      <w:r>
        <w:t xml:space="preserve">5. erhebliche Sicherheitsvorfälle im Zusammenhang mit der Ausgliederung beim Unternehmen oder beim Dienstleister nach Kenntnis,</w:t>
      </w:r>
    </w:p>
    <w:p>
      <w:pPr>
        <w:ind w:left="420"/>
      </w:pPr>
      <w:r>
        <w:t xml:space="preserve">6. ein unzureichendes Risiko- und Notfallmanagement des Dienstleisters,</w:t>
      </w:r>
    </w:p>
    <w:p>
      <w:pPr>
        <w:ind w:left="420"/>
      </w:pPr>
      <w:r>
        <w:t xml:space="preserve">7. unzureichende Ressourcen des Dienstleisters für die ordnungsgemäße Ausführung der ausgegliederten Funktion oder Versicherungstätigkeit,</w:t>
      </w:r>
    </w:p>
    <w:p>
      <w:pPr>
        <w:ind w:left="420"/>
      </w:pPr>
      <w:r>
        <w:t xml:space="preserve">8. Kenntnis über Umstände, nach denen eine leitende Person des Dienstleisters nicht als zuverlässig betrachtet werden kann,</w:t>
      </w:r>
    </w:p>
    <w:p>
      <w:pPr>
        <w:ind w:left="420"/>
      </w:pPr>
      <w:r>
        <w:t xml:space="preserve">9. fehlende oder nur unzureichende Mitwirkung des Dienstleisters bei Beendigung der Ausgliederung,</w:t>
      </w:r>
    </w:p>
    <w:p>
      <w:pPr>
        <w:ind w:left="420"/>
      </w:pPr>
      <w:r>
        <w:t xml:space="preserve">10. drohende Zahlungsunfähigkeit des Dienstleisters,</w:t>
      </w:r>
    </w:p>
    <w:p>
      <w:pPr>
        <w:ind w:left="420"/>
      </w:pPr>
      <w:r>
        <w:t xml:space="preserve">11. Kenntnis über schwerwiegende Reputationsschäden beim Dienstleister,</w:t>
      </w:r>
    </w:p>
    <w:p>
      <w:pPr>
        <w:ind w:left="420"/>
      </w:pPr>
      <w:r>
        <w:t xml:space="preserve">12. Konflikte am Sitz des Dienstleisters in Drittstaaten, die zu einer wesentlichen Gefährdung der ausgegliederten Funktion oder Versicherungstätigkeit führen oder führen könnten.</w:t>
      </w:r>
    </w:p>
    <w:p>
      <w:r>
        <w:t xml:space="preserve">(3) Zeigt ein in § 1 genanntes Unternehmen nach Vertragsschluss eingetretene wesentliche Umstände in Bezug auf wichtige ausgegliederte Funktionen und Versicherungstätigkeiten an, die zum Zeitpunkt des Inkrafttretens dieser Verordnung bereits bestanden, sind zudem die Informationen nach § 2 Absatz 1 anzuzeigen.</w:t>
      </w:r>
    </w:p>
    <w:p>
      <w:r>
        <w:rPr>
          <w:color w:val="555555"/>
          <w:sz w:val="17"/>
        </w:rPr>
        <w:t xml:space="preserve">Zitiervorschlag: § 3 VersAusgl-AnzV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https://recht.nulegal.eu/gesetze/VersAusgl-AnzV/3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