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Anhang EV VersAnsprReglG — Auszug aus EinigVtr Anlage I Kapitel III Sachgebiet D Abschnitt II (BGBl. II 1990, 889, 959) - Maßgaben für das beigetretene Gebiet (Art. 3 EinigVtr) -</w:t>
      </w:r>
    </w:p>
    <w:p>
      <w:r>
        <w:rPr>
          <w:color w:val="555555"/>
          <w:sz w:val="18"/>
        </w:rPr>
        <w:t xml:space="preserve">Gesetz zur Regelung von Ansprüchen aus Lebens- und Rentenversicherungen</w:t>
      </w:r>
    </w:p>
    <w:p>
      <w:r>
        <w:rPr>
          <w:color w:val="555555"/>
          <w:sz w:val="18"/>
        </w:rPr>
        <w:t xml:space="preserve">Stand: 10.06.2019 (konsolidierte Textfassung, kein amtliches Inkrafttretensdatum)</w:t>
      </w:r>
    </w:p>
    <w:p>
      <w:r>
        <w:t xml:space="preserve">Abschnitt II Bundesrecht wird wie folgt geändert und ergänzt:</w:t>
      </w:r>
    </w:p>
    <w:p>
      <w:pPr>
        <w:ind w:left="420"/>
      </w:pPr>
      <w:r>
        <w:t xml:space="preserve">Gesetz zur Regelung von Ansprüchen aus Lebens- und Rentenversicherungen in der Fassung der Bekanntmachung vom 3. Juli 1964 (BGBl. I S. 433, 806),mit folgender Maßgabe:Versicherungsunternehmen können nach diesem Gesetz wegen ihrer Verbindlichkeiten aus Lebens- und Rentenversicherungen, die nach den vor Inkrafttreten des Währungsgesetzes in Geltung gewesenen Vorschriften in Reichsmark zu erfüllen gewesen wären, bis zu einer besonderen oder allgemeinen Abschlußgesetzgebung über die Regelung von Kriegsfolgen und Umstellungsansprüchen nicht in Anspruch genommen werden.</w:t>
      </w:r>
    </w:p>
    <w:p>
      <w:r>
        <w:rPr>
          <w:color w:val="555555"/>
          <w:sz w:val="17"/>
        </w:rPr>
        <w:t xml:space="preserve">Zitiervorschlag: Anhang EV VersAnsprReglG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https://recht.nulegal.eu/gesetze/VersAnsprReglG/anhang-ev</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