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VersAnsprReglG</w:t>
      </w:r>
    </w:p>
    <w:p>
      <w:r>
        <w:rPr>
          <w:color w:val="555555"/>
          <w:sz w:val="18"/>
        </w:rPr>
        <w:t xml:space="preserve">Gesetz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ehelichen Gütergemeinschaften und Erbengemeinschaften gelten die Voraussetzungen des § 2 Satz 1 Buchstabe a und des § 3 Satz 1 Buchstaben a und b als erfüllt, wenn sie mindestens in der Person eines Mitberechtigten gegeben sind.</w:t>
      </w:r>
    </w:p>
    <w:p>
      <w:r>
        <w:t xml:space="preserve">(2) Bei sonstigen Gemeinschaften zur gesamten Hand gelten die Voraussetzungen des § 2 Satz 1 Buchstabe a und des § 3 Satz 1 Buchstaben a und b als erfüllt, wenn sie entweder in der Person aller Mitberechtigten gegeben sind oder wenn die Gemeinschaft zur gesamten Hand ihren Sitz oder Ort der Niederlassung zu einem der in § 2 Satz 1 Buchstabe a und § 3 Satz 1 Buchstaben a und b bezeichneten Zeitpunkte im Geltungsbereich dieses Gesetzes oder in einem Staat hatte, der die Regierung der Bundesrepublik Deutschland anerkannt hat.</w:t>
      </w:r>
    </w:p>
    <w:p>
      <w:r>
        <w:rPr>
          <w:color w:val="555555"/>
          <w:sz w:val="17"/>
        </w:rPr>
        <w:t xml:space="preserve">Zitiervorschlag: § 5 VersAnsprReglG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