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gemäß § 13 Abs. 1 des Dritten Überleitungsgesetzes vom 4. Januar 1952 (Bundesgesetzbl. I S. 1) mit folgenden Maßgaben auch in Berlin (West):</w:t>
      </w:r>
    </w:p>
    <w:p>
      <w:pPr>
        <w:ind w:left="420"/>
      </w:pPr>
      <w:r>
        <w:t xml:space="preserve">a) In § 2 Satz 1 Buchstaben a und b und § 7 Abs. 2 tritt an die Stelle des 20. Juni 1948 der 24. Juni 1948, in § 2 Satz 1, §§ 3, 6, 10 und 12 an die Stelle des 21. Juni 1948 der 25. Juni 1948;</w:t>
      </w:r>
    </w:p>
    <w:p>
      <w:pPr>
        <w:ind w:left="420"/>
      </w:pPr>
      <w:r>
        <w:t xml:space="preserve">b) an die Stelle der in § 2 Satz 1 Buchstabe b, § 2 letzter Satz und § 7 Abs. 2 angeführten Vorschriften der Dritten Durchführungsverordnung zum Umstellungsgesetz (Versicherungsverordnung) treten die entsprechenden Vorschriften der Durchführungsbestimmung Nr. 4 zur Umstellungsverordnung (Verordnungsblatt für Groß-Berlin 1948, Teil I S. 377);</w:t>
      </w:r>
    </w:p>
    <w:p>
      <w:pPr>
        <w:ind w:left="420"/>
      </w:pPr>
      <w:r>
        <w:t xml:space="preserve">c) soweit Versicherungsunternehmen auf Grund von in Berlin (West) geltenden Vorschriften über die Bestimmungen dieses Gesetzes hinaus wegen ihrer Verbindlichkeiten in Anspruch genommen werden können, behält es dabei sein Bewenden.</w:t>
      </w:r>
    </w:p>
    <w:p>
      <w:r>
        <w:t xml:space="preserve">Die in § 13 Abs. 1 des Dritten Überleitungsgesetzes bestimmte Frist braucht bei der Übernahme des Gesetzes durch das Land Berlin nicht eingehalten zu werden.</w:t>
      </w:r>
    </w:p>
    <w:p>
      <w:r>
        <w:rPr>
          <w:color w:val="555555"/>
          <w:sz w:val="17"/>
        </w:rPr>
        <w:t xml:space="preserve">Zitiervorschlag: § 16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