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11a VersAnsprReglG</w:t>
      </w:r>
    </w:p>
    <w:p>
      <w:r>
        <w:rPr>
          <w:color w:val="555555"/>
          <w:sz w:val="18"/>
        </w:rPr>
        <w:t xml:space="preserve">Gesetz zur Regelung von Ansprüchen aus Lebens- und Rentenversicherungen</w:t>
      </w:r>
    </w:p>
    <w:p>
      <w:r>
        <w:rPr>
          <w:color w:val="555555"/>
          <w:sz w:val="18"/>
        </w:rPr>
        <w:t xml:space="preserve">Stand: 10.06.2019 (konsolidierte Textfassung, kein amtliches Inkrafttretensdatum)</w:t>
      </w:r>
    </w:p>
    <w:p>
      <w:r>
        <w:t xml:space="preserve">Für die Verbindlichkeiten von betrieblichen und überbetrieblichen Pensionskassen mit Zwangsbeitritt, die aus Pensionsversicherungsverhältnissen herrühren, sind §§ 2, 3, 10 und 11 nur mit den sich aus §§ 11b bis 11e ergebenden Abweichungen anzuwenden.</w:t>
      </w:r>
    </w:p>
    <w:p>
      <w:r>
        <w:rPr>
          <w:color w:val="555555"/>
          <w:sz w:val="17"/>
        </w:rPr>
        <w:t xml:space="preserve">Zitiervorschlag: § 11a VersAnsprReglG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https://recht.nulegal.eu/gesetze/VersAnsprReglG/11a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