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VersAnsprReglG</w:t>
      </w:r>
    </w:p>
    <w:p>
      <w:r>
        <w:rPr>
          <w:color w:val="555555"/>
          <w:sz w:val="18"/>
        </w:rPr>
        <w:t xml:space="preserve">Gesetz zur Regelung von Ansprüchen aus Lebens- und Rentenversicherungen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Versicherungsunternehmen können wegen ihrer Verbindlichkeiten aus Lebens- und Rentenversicherungen, die nach den vor dem Inkrafttreten des Währungsgesetzes in Geltung gewesenen Vorschriften in Reichsmark zu erfüllen gewesen wären, nur nach Maßgabe der folgenden Bestimmungen in Anspruch genommen werden.</w:t>
      </w:r>
    </w:p>
    <w:p>
      <w:r>
        <w:rPr>
          <w:color w:val="555555"/>
          <w:sz w:val="17"/>
        </w:rPr>
        <w:t xml:space="preserve">Zitiervorschlag: § 1 VersAnsprReglG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https://recht.nulegal.eu/gesetze/VersAnsprReglG/1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