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VerpflG</w:t>
      </w:r>
    </w:p>
    <w:p>
      <w:r>
        <w:rPr>
          <w:color w:val="555555"/>
          <w:sz w:val="18"/>
        </w:rPr>
        <w:t xml:space="preserve">Verpflichtungsgesetz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gewissenhafte Erfüllung seiner Obliegenheiten soll verpflichtet werden, wer, ohne Amtsträger (§ 11 Abs. 1 Nr. 2 des Strafgesetzbuches) zu sein,</w:t>
      </w:r>
    </w:p>
    <w:p>
      <w:pPr>
        <w:ind w:left="420"/>
      </w:pPr>
      <w:r>
        <w:t xml:space="preserve">1. bei einer Behörde oder bei einer sonstigen Stelle, die Aufgaben der öffentlichen Verwaltung wahrnimmt, beschäftigt oder für sie tätig ist,</w:t>
      </w:r>
    </w:p>
    <w:p>
      <w:pPr>
        <w:ind w:left="420"/>
      </w:pPr>
      <w:r>
        <w:t xml:space="preserve">2. bei einem Verband oder sonstigen Zusammenschluß, einem Betrieb oder Unternehmen, die für eine Behörde oder sonstige Stelle Aufgaben der öffentlichen Verwaltung ausführen, beschäftigt oder für sie tätig ist oder</w:t>
      </w:r>
    </w:p>
    <w:p>
      <w:pPr>
        <w:ind w:left="420"/>
      </w:pPr>
      <w:r>
        <w:t xml:space="preserve">3. als Sachverständiger öffentlich bestellt ist.</w:t>
      </w:r>
    </w:p>
    <w:p>
      <w:r>
        <w:t xml:space="preserve">(2) Die Verpflichtung wird mündlich vorgenommen. Dabei ist auf die strafrechtlichen Folgen einer Pflichtverletzung hinzuweisen.</w:t>
      </w:r>
    </w:p>
    <w:p>
      <w:r>
        <w:t xml:space="preserve">(3) Über die Verpflichtung wird eine Niederschrift aufgenommen, die der Verpflichtete mit unterzeichnet. Er erhält eine Abschrift der Niederschrift; davon kann abgesehen werden, wenn dies im Interesse der inneren oder äußeren Sicherheit der Bundesrepublik Deutschland geboten ist.</w:t>
      </w:r>
    </w:p>
    <w:p>
      <w:r>
        <w:t xml:space="preserve">(4) Welche Stelle für die Verpflichtung zuständig ist, bestimmt</w:t>
      </w:r>
    </w:p>
    <w:p>
      <w:pPr>
        <w:ind w:left="420"/>
      </w:pPr>
      <w:r>
        <w:t xml:space="preserve">1. in den Fällen des Absatzes 1 Nr. 1 und 2 bei Behörden oder sonstigen Stellen nach Bundesrecht die jeweils zuständige oberste Dienstaufsichtsbehörde oder, soweit eine Dienstaufsicht nicht besteht, die oberste Fachaufsichtsbehörde,</w:t>
      </w:r>
    </w:p>
    <w:p>
      <w:pPr>
        <w:ind w:left="420"/>
      </w:pPr>
      <w:r>
        <w:t xml:space="preserve">2. in allen übrigen Fällen diejenige Behörde, die von der Landesregierung durch Rechtsverordnung bestimmt wird.</w:t>
      </w:r>
    </w:p>
    <w:p>
      <w:r>
        <w:rPr>
          <w:color w:val="555555"/>
          <w:sz w:val="17"/>
        </w:rPr>
        <w:t xml:space="preserve">Zitiervorschlag: § 1 VerpflG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https://recht.nulegal.eu/gesetze/VerpflG/1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