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VerpackG — (zu § 5 Absatz 1 Satz 2 Nummer 4) Anforderungen, unter denen der in § 5 Absatz 1 Satz 1 festgelegte Schwermetallgrenzwert nicht für Glasverpackungen gilt</w:t>
      </w:r>
    </w:p>
    <w:p>
      <w:r>
        <w:rPr>
          <w:color w:val="555555"/>
          <w:sz w:val="18"/>
        </w:rPr>
        <w:t xml:space="preserve">Verpackungsgesetz</w:t>
      </w:r>
    </w:p>
    <w:p>
      <w:r>
        <w:rPr>
          <w:color w:val="555555"/>
          <w:sz w:val="18"/>
        </w:rPr>
        <w:t xml:space="preserve">Historische Fassung: Stand 09.02.2021 bis 12.08.2026. Dies ist nicht die aktuelle Fassung.</w:t>
      </w:r>
    </w:p>
    <w:p>
      <w:r>
        <w:t xml:space="preserve">(Fundstelle: BGBl. I 2017, 2256)</w:t>
      </w:r>
    </w:p>
    <w:p>
      <w:pPr>
        <w:ind w:left="420"/>
      </w:pPr>
      <w:r>
        <w:t xml:space="preserve">1. Begriffsbestimmungen Für die Zwecke dieser Festlegung gelten für die Begriffe „bewusste Zugabe“ und „zufällige Präsenz“ die Begriffsbestimmungen in Nummer 2 der Anlage 3 zu § 5 Absatz 1 Satz 2 Nummer 2.</w:t>
      </w:r>
    </w:p>
    <w:p>
      <w:pPr>
        <w:ind w:left="420"/>
      </w:pPr>
      <w:r>
        <w:t xml:space="preserve">2. Herstellung (1) Blei, Cadmium, Quecksilber und Chrom VI dürfen bei der Fertigung nicht bewusst als Bestandteil zugegeben werden.(2) Der Grenzwert nach § 5 Absatz 1 Satz 1 darf nur überschritten werden, wenn dies auf den Einsatz von Sekundärrohstoffen zurückzuführen ist.</w:t>
      </w:r>
    </w:p>
    <w:p>
      <w:pPr>
        <w:ind w:left="420"/>
      </w:pPr>
      <w:r>
        <w:t xml:space="preserve">3. Kontrolle (1) Überschreitet die durchschnittliche Schwermetallkonzentration aus in zwölf aufeinander folgenden Monaten durchgeführten monatlichen Kontrollen der Produktion jedes einzelnen Glasofens, die repräsentativ für die normale und regelmäßige Produktionstätigkeit sind, den Grenzwert von 200 mg/kg, so hat der Hersteller der Glasverpackungen oder sein bevollmächtigter Vertreter der zuständigen Behörde einen Bericht vorzulegen. Dieser Bericht muss mindestens folgende Angaben enthalten:</w:t>
      </w:r>
    </w:p>
    <w:p>
      <w:pPr>
        <w:ind w:left="780"/>
      </w:pPr>
      <w:r>
        <w:t xml:space="preserve">– Messwerte,</w:t>
      </w:r>
    </w:p>
    <w:p>
      <w:pPr>
        <w:ind w:left="780"/>
      </w:pPr>
      <w:r>
        <w:t xml:space="preserve">– Beschreibung der verwendeten Messmethode,</w:t>
      </w:r>
    </w:p>
    <w:p>
      <w:pPr>
        <w:ind w:left="780"/>
      </w:pPr>
      <w:r>
        <w:t xml:space="preserve">– mutmaßliche Quellen für die Präsenz der Schwermetallkonzentrationsgrenzwerte,</w:t>
      </w:r>
    </w:p>
    <w:p>
      <w:pPr>
        <w:ind w:left="780"/>
      </w:pPr>
      <w:r>
        <w:t xml:space="preserve">– eingehende Beschreibung der zur Verringerung der Konzentrationsgrenzwerte getroffenen Maßnahmen.</w:t>
      </w:r>
    </w:p>
    <w:p>
      <w:pPr>
        <w:ind w:left="420"/>
      </w:pPr>
      <w:r>
        <w:t xml:space="preserve">(2) Die Messergebnisse aus Produktionsstätten und die verwendeten Messmethoden sind mindestens drei Jahre lang aufzubewahren und der zuständigen Behörde auf Verlangen vorzulegen.</w:t>
      </w:r>
    </w:p>
    <w:p>
      <w:r>
        <w:rPr>
          <w:color w:val="555555"/>
          <w:sz w:val="17"/>
        </w:rPr>
        <w:t xml:space="preserve">Zitiervorschlag: Anlage 4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