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VerpackG — (zu § 5 Absatz 1 Satz 2 Nummer 2) Anforderungen, unter denen der in § 5 Absatz 1 Satz 1 festgelegte Schwermetallgrenzwert nicht für Kunststoffkästen und -paletten gilt</w:t>
      </w:r>
    </w:p>
    <w:p>
      <w:r>
        <w:rPr>
          <w:color w:val="555555"/>
          <w:sz w:val="18"/>
        </w:rPr>
        <w:t xml:space="preserve">Verpackungsgesetz</w:t>
      </w:r>
    </w:p>
    <w:p>
      <w:r>
        <w:rPr>
          <w:color w:val="555555"/>
          <w:sz w:val="18"/>
        </w:rPr>
        <w:t xml:space="preserve">Historische Fassung: Stand 09.02.2021 bis 12.08.2026. Dies ist nicht die aktuelle Fassung.</w:t>
      </w:r>
    </w:p>
    <w:p>
      <w:r>
        <w:t xml:space="preserve">(Fundstelle: BGBl. I 2017, 2255)</w:t>
      </w:r>
    </w:p>
    <w:p>
      <w:pPr>
        <w:ind w:left="420"/>
      </w:pPr>
      <w:r>
        <w:t xml:space="preserve">1. Anwendungsbereich Der in § 5 Absatz 1 Satz 1 festgelegte Schwermetallgrenzwert gilt nicht für Kunststoffkästen und -paletten, die in geschlossenen und kontrollierten Produktkreisläufen zirkulieren und die nachfolgend genannten Anforderungen erfüllen.</w:t>
      </w:r>
    </w:p>
    <w:p>
      <w:pPr>
        <w:ind w:left="420"/>
      </w:pPr>
      <w:r>
        <w:t xml:space="preserve">2. Begriffsbestimmungen Für die Zwecke dieser Festlegung sind</w:t>
      </w:r>
    </w:p>
    <w:p>
      <w:pPr>
        <w:ind w:left="780"/>
      </w:pPr>
      <w:r>
        <w:t xml:space="preserve">– „bewusste Zugabe“:der beabsichtigte Einsatz eines Stoffes in der Formel einer Verpackung oder Verpackungskomponente mit dem Ziel, durch sein Vorhandensein in der Verpackung oder Verpackungskomponente ein bestimmtes Merkmal, Aussehen oder eine bestimmte Qualität zu erzielen. Nicht als „bewusste Zugabe“ anzusehen ist, wenn bei der Herstellung neuer Verpackungsmaterialien Sekundärrohstoffe verwendet werden, die zum Teil Metalle enthalten können, die Konzentrationsgrenzwerten unterliegen,</w:t>
      </w:r>
    </w:p>
    <w:p>
      <w:pPr>
        <w:ind w:left="780"/>
      </w:pPr>
      <w:r>
        <w:t xml:space="preserve">– „zufällige Präsenz“:das unbeabsichtigte Vorhandensein eines Stoffes in einer Verpackung oder Verpackungskomponente,</w:t>
      </w:r>
    </w:p>
    <w:p>
      <w:pPr>
        <w:ind w:left="780"/>
      </w:pPr>
      <w:r>
        <w:t xml:space="preserve">– „geschlossene und kontrollierte Produktkreisläufe“:Kreisläufe, in denen Produkte auf Grund eines kontrollierten Vertriebs- und Mehrwegsystems zirkulieren und in denen die Sekundärrohstoffe nur aus im Kreislauf befindlichen Einheiten stammen, die Zugabe von Stoffen, die nicht aus dem Kreislauf stammen, auf das technisch mögliche Mindestmaß beschränkt ist, und aus denen die Einheiten nur durch ein zu diesem Zweck zugelassenes Verfahren entnommen werden dürfen, um eine möglichst hohe Rückgabequote zu erzielen.</w:t>
      </w:r>
    </w:p>
    <w:p>
      <w:pPr>
        <w:ind w:left="420"/>
      </w:pPr>
      <w:r>
        <w:t xml:space="preserve">3. Herstellung und Kennzeichnung (1) Die Herstellung erfolgt in einem kontrollierten Verfahren der stofflichen Verwertung, bei dem der Sekundärrohstoff ausschließlich aus Kunststoffkästen und -paletten stammt und die Zugabe von Stoffen, die nicht aus dem Kreislauf stammen, auf das technisch mögliche Mindestmaß, höchstens jedoch auf 20 Masseprozent beschränkt bleibt.(2) Blei, Cadmium, Quecksilber und Chrom VI dürfen weder bei der Fertigung noch beim Vertrieb bewusst als Bestandteil zugegeben werden. Die zufällige Präsenz eines dieser Stoffe bleibt hiervon unberührt.(3) Der Grenzwert darf nur überschritten werden, wenn dies auf den Einsatz von Sekundärrohstoffen zurückzuführen ist.(4) Neue Kunststoffkästen und -paletten, die Metalle enthalten, die Konzentrationsgrenzwerten unterliegen, sind dauerhaft und sichtbar gekennzeichnet.</w:t>
      </w:r>
    </w:p>
    <w:p>
      <w:pPr>
        <w:ind w:left="420"/>
      </w:pPr>
      <w:r>
        <w:t xml:space="preserve">4. Systemanforderungen und sonstige Entsorgung (1) Es besteht ein Bestandserfassungs- und -kontrollsystem, das auch über die rechtliche und finanzielle Rechenschaftspflicht Aufschluss gibt, um die Einhaltung der Anforderungen der Nummern 3 und 4, einschließlich der Rückgabequote, d. h. des prozentualen Anteils an Mehrwegverpackungen, die nach Gebrauch nicht ausgesondert, sondern an ihre Hersteller oder Vertreiber oder an einen bevollmächtigten Vertreter zurückgegeben werden, nachzuweisen; diese Quote soll so hoch wie möglich sein und darf über die Lebensdauer der Kunststoffkästen und -paletten insgesamt gerechnet keinesfalls unter 90 Prozent liegen. Dieses System soll alle in Verkehr gebrachten und aus dem Verkehr gezogenen Mehrwegverpackungen erfassen.(2) Alle zurückgegebenen Kunststoffkästen und -paletten, die nicht wiederverwendet werden können, werden entweder einem Verfahren der stofflichen Verwertung unterzogen, bei dem Kunststoffkästen und -paletten gemäß Nummer 3 hergestellt werden, oder gemeinwohlverträglich beseitigt.</w:t>
      </w:r>
    </w:p>
    <w:p>
      <w:pPr>
        <w:ind w:left="420"/>
      </w:pPr>
      <w:r>
        <w:t xml:space="preserve">5. Konformitätserklärung und Jahresbericht (1) Der Hersteller oder sein bevollmächtigter Vertreter stellt jährlich eine schriftliche Konformitätserklärung aus, dass die nach dieser Anlage hergestellten Kunststoffkästen und -paletten die hierin beschriebenen Anforderungen erfüllen. Er erstellt ferner einen Jahresbericht, aus dem hervorgeht, wie die Bedingungen dieser Anlage eingehalten wurden. Darin sind insbesondere etwaige Veränderungen am System und jeder Wechsel bei den bevollmächtigten Vertretern anzugeben.(2) Der Hersteller oder sein bevollmächtigter Vertreter haben diese Unterlagen mindestens vier Jahre lang aufzubewahren und der zuständigen Behörde auf Verlangen vorzulegen.</w:t>
      </w:r>
    </w:p>
    <w:p>
      <w:r>
        <w:rPr>
          <w:color w:val="555555"/>
          <w:sz w:val="17"/>
        </w:rPr>
        <w:t xml:space="preserve">Zitiervorschlag: Anlage 3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