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VerpackG — (zu § 3 Absatz 7) Schadstoffhaltige Füllgüter im Sinne von § 3 Absatz 7</w:t>
      </w:r>
    </w:p>
    <w:p>
      <w:r>
        <w:rPr>
          <w:color w:val="555555"/>
          <w:sz w:val="18"/>
        </w:rPr>
        <w:t xml:space="preserve">Verpackungsgesetz</w:t>
      </w:r>
    </w:p>
    <w:p>
      <w:r>
        <w:rPr>
          <w:color w:val="555555"/>
          <w:sz w:val="18"/>
        </w:rPr>
        <w:t xml:space="preserve">Historische Fassung: Stand 01.01.2022 bis 12.08.2026. Dies ist nicht die aktuelle Fassung.</w:t>
      </w:r>
    </w:p>
    <w:p>
      <w:r>
        <w:t xml:space="preserve">(Fundstelle: BGBl. I 2017, 2254)</w:t>
      </w:r>
    </w:p>
    <w:p>
      <w:pPr>
        <w:ind w:left="420"/>
      </w:pPr>
      <w:r>
        <w:t xml:space="preserve">1. Stoffe und Gemische, die bei einem Vertrieb im Einzelhandel dem Selbstbedienungsverbot nach § 8 Absatz 4 der Chemikalien-Verbotsverordnung vom 20. Januar 2017 (BGBl. I S. 94; 2018 I S. 1389), die zuletzt durch Artikel 300 der Verordnung vom 19. Juni 2020 (BGBl. I S. 1328) geändert worden ist, unterliegen würden,</w:t>
      </w:r>
    </w:p>
    <w:p>
      <w:pPr>
        <w:ind w:left="420"/>
      </w:pPr>
      <w:r>
        <w:t xml:space="preserve">2. Pflanzenschutzmittel, die nur für die Anwendung durch berufliche Anwender nach dem Pflanzenschutzgesetz vom 6. Februar 2012 (BGBl. I S. 148, 1281), das zuletzt durch Artikel 278 der Verordnung vom 19. Juni 2020 (BGBl. I S. 1328) geändert worden ist, zugelassen sind,</w:t>
      </w:r>
    </w:p>
    <w:p>
      <w:pPr>
        <w:ind w:left="420"/>
      </w:pPr>
      <w:r>
        <w:t xml:space="preserve">3. Gemische von Diphenylmethan-4,4'-diisocyanat (MDI), soweit diese nach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die zuletzt durch die Verordnung (EU) 2020/1677 (ABl. L 379 vom 13.11.2020, S. 3) geändert worden ist, als atemwegssensibilisierend der Kategorie 1 (Resp. Sens. 1) einzustufen sowie mit dem H-Satz H334 zu kennzeichnen sind und in Druckgaspackungen in Verkehr gebracht werden, sowie</w:t>
      </w:r>
    </w:p>
    <w:p>
      <w:pPr>
        <w:ind w:left="420"/>
      </w:pPr>
      <w:r>
        <w:t xml:space="preserve">4. Öle, flüssige Brennstoffe und sonstige ölbürtige Produkte, die als Abfall unter die Abfallschlüssel 12 01 06, 12 01 07, 12 01 10, 16 01 13 oder 16 01 14 oder unter Kapitel 13 der Anlage zur Abfallverzeichnis-Verordnung fallen würden.</w:t>
      </w:r>
    </w:p>
    <w:p>
      <w:r>
        <w:rPr>
          <w:color w:val="555555"/>
          <w:sz w:val="17"/>
        </w:rPr>
        <w:t xml:space="preserve">Zitiervorschlag: Anlage 2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