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VerpackG — Einziehung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03.07.2021 bis 12.08.2026. Dies ist nicht die aktuelle Fassung.</w:t>
      </w:r>
    </w:p>
    <w:p>
      <w:r>
        <w:t xml:space="preserve">Ist eine Ordnungswidrigkeit nach § 36 Absatz 1 begangen worden, so können</w:t>
      </w:r>
    </w:p>
    <w:p>
      <w:pPr>
        <w:ind w:left="420"/>
      </w:pPr>
      <w:r>
        <w:t xml:space="preserve">1. Gegenstände, auf die sich die Ordnungswidrigkeit bezieht, oder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37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