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VerpackG — Pfand- und Rücknahmepflichten für Einweggetränkeverpackungen</w:t>
      </w:r>
    </w:p>
    <w:p>
      <w:r>
        <w:rPr>
          <w:color w:val="555555"/>
          <w:sz w:val="18"/>
        </w:rPr>
        <w:t xml:space="preserve">Verpackungsgesetz</w:t>
      </w:r>
    </w:p>
    <w:p>
      <w:r>
        <w:rPr>
          <w:color w:val="555555"/>
          <w:sz w:val="18"/>
        </w:rPr>
        <w:t xml:space="preserve">Historische Fassung: Stand 01.01.2022 bis 12.08.2026. Dies ist nicht die aktuelle Fassung.</w:t>
      </w:r>
    </w:p>
    <w:p>
      <w:r>
        <w:t xml:space="preserve">(1) Hersteller von mit Getränken befüllten Einweggetränkeverpackungen sind verpflichtet, von ihren Abnehmern ein Pfand in Höhe von mindestens 0,25 Euro einschließlich Umsatzsteuer je Verpackung zu erheben. Das Pfand ist von jedem weiteren Vertreiber auf allen Handelsstufen bis zur Abgabe an den Endverbraucher zu erheben. Die Einweggetränkeverpackungen sind vor dem Inverkehrbringen dauerhaft, deutlich lesbar und an gut sichtbarer Stelle als pfandpflichtig zu kennzeichnen. Die Hersteller nach Satz 1 sind verpflichtet, sich an einem bundesweit tätigen, einheitlichen Pfandsystem zu beteiligen, das den Teilnehmern die Abwicklung von Pfanderstattungsansprüchen untereinander ermöglicht und auf einer Internetseite in geeignetem Umfang Informationen für den Endverbraucher zum Rücknahme- und Sammelsystem für pfandpflichtige Einweggetränkeverpackungen und zur Verwertung der zurückgenommenen Verpackungen veröffentlicht.</w:t>
      </w:r>
    </w:p>
    <w:p>
      <w:r>
        <w:t xml:space="preserve">(2) Vertreiber von mit Getränken befüllten Einweggetränkeverpackungen sind verpflichtet, restentleerte Einweggetränkeverpackungen am Ort der tatsächlichen Übergabe oder in dessen unmittelbarer Nähe zu den geschäftsüblichen Öffnungszeiten unentgeltlich zurückzunehmen und das Pfand zu erstatten. Ohne eine Rücknahme der Verpackung darf das Pfand nicht erstattet werden. Die Rücknahmepflicht nach Satz 1 beschränkt sich auf Einweggetränkeverpackungen der jeweiligen Materialarten Glas, Metall, Papier/Pappe/Karton und Kunststoff einschließlich sämtlicher Verbundverpackungen aus diesen Hauptmaterialarten, die der rücknahmepflichtige Vertreiber in seinem Sortiment führt. Für Vertreiber mit einer Verkaufsfläche von weniger als 200 Quadratmetern beschränkt sich die Rücknahmepflicht nach Satz 1 auf Einweggetränkeverpackungen der Marken, die der Vertreiber in seinem Sortiment führt; im Versandhandel gelten als Verkaufsfläche alle Lager- und Versandflächen. Beim Verkauf aus Automaten hat der Letztvertreiber die Rücknahme durch geeignete Rückgabemöglichkeiten in zumutbarer Entfernung zu den Verkaufsautomaten zu gewährleisten. Im Versandhandel hat der Letztvertreiber die Rücknahme durch geeignete Rückgabemöglichkeiten in zumutbarer Entfernung zum Endverbraucher zu gewährleisten.</w:t>
      </w:r>
    </w:p>
    <w:p>
      <w:r>
        <w:t xml:space="preserve">(3) Die nach Absatz 2 Satz 1 zurückgenommenen Einweggetränkeverpackungen sind durch den Zurücknehmenden einer Verwertung entsprechend den Anforderungen des § 16 Absatz 5 zuzuführen. Die Anforderungen des § 16 Absatz 5 können auch durch die Rückgabe der restentleerten Einweggetränkeverpackungen an einen Vorvertreiber erfüllt werden. § 15 Absatz 1 Satz 4 und Absatz 3 Satz 3 bis 7 gelten entsprechend.</w:t>
      </w:r>
    </w:p>
    <w:p>
      <w:r>
        <w:t xml:space="preserve">(4) Die Absätze 1 bis 3 finden keine Anwendung auf</w:t>
      </w:r>
    </w:p>
    <w:p>
      <w:pPr>
        <w:ind w:left="420"/>
      </w:pPr>
      <w:r>
        <w:t xml:space="preserve">1. Getränkeverpackungen, die nachweislich nicht dazu bestimmt sind, im Geltungsbereich dieses Gesetzes an den Endverbraucher abgegeben zu werden;</w:t>
      </w:r>
    </w:p>
    <w:p>
      <w:pPr>
        <w:ind w:left="420"/>
      </w:pPr>
      <w:r>
        <w:t xml:space="preserve">2. Getränkeverpackungen mit einem Füllvolumen von weniger als 0,1 Litern;</w:t>
      </w:r>
    </w:p>
    <w:p>
      <w:pPr>
        <w:ind w:left="420"/>
      </w:pPr>
      <w:r>
        <w:t xml:space="preserve">3. Getränkeverpackungen mit einem Füllvolumen von mehr als 3,0 Litern;</w:t>
      </w:r>
    </w:p>
    <w:p>
      <w:pPr>
        <w:ind w:left="420"/>
      </w:pPr>
      <w:r>
        <w:t xml:space="preserve">4. Getränkekartonverpackungen, sofern es sich um Blockpackungen, Giebelpackungen oder Zylinderpackungen handelt;</w:t>
      </w:r>
    </w:p>
    <w:p>
      <w:pPr>
        <w:ind w:left="420"/>
      </w:pPr>
      <w:r>
        <w:t xml:space="preserve">5. Getränke-Polyethylen-Schlauchbeutel-Verpackungen;</w:t>
      </w:r>
    </w:p>
    <w:p>
      <w:pPr>
        <w:ind w:left="420"/>
      </w:pPr>
      <w:r>
        <w:t xml:space="preserve">6. Folien-Standbodenbeutel;</w:t>
      </w:r>
    </w:p>
    <w:p>
      <w:pPr>
        <w:ind w:left="420"/>
      </w:pPr>
      <w:r>
        <w:t xml:space="preserve">7. Getränkeverpackungen, die eines der folgenden Getränke enthalten:</w:t>
      </w:r>
    </w:p>
    <w:p>
      <w:pPr>
        <w:ind w:left="780"/>
      </w:pPr>
      <w:r>
        <w:t xml:space="preserve">a) Sekt, Sektmischgetränke mit einem Sektanteil von mindestens 50 Prozent und schäumende Getränke aus alkoholfreiem oder alkoholreduziertem Wein;</w:t>
      </w:r>
    </w:p>
    <w:p>
      <w:pPr>
        <w:ind w:left="780"/>
      </w:pPr>
      <w:r>
        <w:t xml:space="preserve">b) Wein und Weinmischgetränke mit einem Weinanteil von mindestens 50 Prozent und alkoholfreien oder alkoholreduzierten Wein;</w:t>
      </w:r>
    </w:p>
    <w:p>
      <w:pPr>
        <w:ind w:left="780"/>
      </w:pPr>
      <w:r>
        <w:t xml:space="preserve">c) weinähnliche Getränke und Mischgetränke, auch in weiterverarbeiteter Form, mit einem Anteil an weinähnlichen Erzeugnissen von mindestens 50 Prozent;</w:t>
      </w:r>
    </w:p>
    <w:p>
      <w:pPr>
        <w:ind w:left="780"/>
      </w:pPr>
      <w:r>
        <w:t xml:space="preserve">d) Alkoholerzeugnisse, die nach § 1 Absatz 1 des Alkoholsteuergesetzes vom 21. Juni 2013 (BGBl. I S. 1650, 1651), das zuletzt durch Artikel 241 der Verordnung vom 31. August 2015 (BGBl. I S. 1474) geändert worden ist, in der jeweils geltenden Fassung, der Alkoholsteuer unterliegen, es sei denn, es handelt sich um Erzeugnisse, die gemäß § 1 Absatz 2 des Alkopopsteuergesetzes vom 23. Juli 2004 (BGBl. I S. 1857), das zuletzt durch Artikel 6 des Gesetzes vom 21. Dezember 2010 (BGBl. I S. 2221) geändert worden ist, in der jeweils geltenden Fassung, der Alkopopsteuer unterliegen;</w:t>
      </w:r>
    </w:p>
    <w:p>
      <w:pPr>
        <w:ind w:left="780"/>
      </w:pPr>
      <w:r>
        <w:t xml:space="preserve">e) sonstige alkoholhaltige Mischgetränke mit einem Alkoholgehalt von mindestens 15 Prozent;</w:t>
      </w:r>
    </w:p>
    <w:p>
      <w:pPr>
        <w:ind w:left="780"/>
      </w:pPr>
      <w:r>
        <w:t xml:space="preserve">f) Milch und Milchmischgetränke mit einem Milchanteil von mindestens 50 Prozent;</w:t>
      </w:r>
    </w:p>
    <w:p>
      <w:pPr>
        <w:ind w:left="780"/>
      </w:pPr>
      <w:r>
        <w:t xml:space="preserve">g) sonstige trinkbare Milcherzeugnisse gemäß § 2 Absatz 1 Nummer 2 des Milch- und Margarinegesetzes vom 25. Juli 1990 (BGBl. I S. 1471), das zuletzt durch Artikel 2 des Gesetzes vom 18. Januar 2019 (BGBl. I S. 33) geändert worden ist, in der jeweils geltenden Fassung, insbesondere Joghurt und Kefir, wenn den sonstigen trinkbaren Milcherzeugnissen kein Stoff zugesetzt ist, der in der Anlage 8 der Fruchtsaft- und Erfrischungsgetränke- und Teeverordnung vom 24. Mai 2004 (BGBl. I S. 1016), die zuletzt durch Artikel 1 der Verordnung vom 18. Mai 2020 (BGBl. I S. 1075) geändert worden ist, in der jeweils geltenden Fassung aufgeführt ist;</w:t>
      </w:r>
    </w:p>
    <w:p>
      <w:pPr>
        <w:ind w:left="780"/>
      </w:pPr>
      <w:r>
        <w:t xml:space="preserve">h) Fruchtsäfte und Gemüsesäfte;</w:t>
      </w:r>
    </w:p>
    <w:p>
      <w:pPr>
        <w:ind w:left="780"/>
      </w:pPr>
      <w:r>
        <w:t xml:space="preserve">i) Fruchtnektare ohne Kohlensäure und Gemüsenektare ohne Kohlensäure;</w:t>
      </w:r>
    </w:p>
    <w:p>
      <w:pPr>
        <w:ind w:left="780"/>
      </w:pPr>
      <w:r>
        <w:t xml:space="preserve">j) diätetische Getränke im Sinne des § 1 Absatz 2 Nummer 1 Buchstabe c der Diätverordnung in der Fassung der Bekanntmachung vom 28. April 2005 (BGBl. I S. 1161), die zuletzt durch Artikel 60 der Verordnung vom 31. August 2015 (BGBl. I S. 1474) geändert worden ist, in der jeweils geltenden Fassung, die ausschließlich für Säuglinge oder Kleinkinder angeboten werden.</w:t>
      </w:r>
    </w:p>
    <w:p>
      <w:r>
        <w:t xml:space="preserve">Die Ausnahme nach Satz 1 Nummer 7 gilt nicht, wenn die in Satz 1 Nummer 7 Buchstabe a bis e, h und i genannten Getränke sowie ab dem 1. Januar 2024 außerdem die in Buchstabe f und g genannten Getränke in Einwegkunststoffgetränkeflaschen abgefüllt sind; § 30a Absatz 3 gilt entsprechend. Ferner gilt die Ausnahme nach Satz 1 Nummer 7 nicht, wenn die in Satz 1 Nummer 7 genannten Getränke in Getränkedosen abgefüllt sind.</w:t>
      </w:r>
    </w:p>
    <w:p>
      <w:r>
        <w:t xml:space="preserve">(5) Hersteller nach Absatz 1 Satz 1 sowie Vertreiber nach Absatz 2 Satz 1 sind verpflichtet, die finanziellen und organisatorischen Mittel vorzuhalten, um ihren Pflichten nach diesem Gesetz nachzukommen. Zur Bewertung ihrer Finanzverwaltung zur ordnungsgemäßen Erfüllung ihrer Pflichten nach diesem Gesetz haben sie geeignete Mechanismen zur Selbstkontrolle einzurichten.</w:t>
      </w:r>
    </w:p>
    <w:p>
      <w:r>
        <w:rPr>
          <w:color w:val="555555"/>
          <w:sz w:val="17"/>
        </w:rPr>
        <w:t xml:space="preserve">Zitiervorschlag: § 31 VerpackG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https://recht.nulegal.eu/gesetze/VerpackG/31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