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VerpackG — Mindestrezyklatanteil bei bestimmten Einwegkunststoffgetränkeflaschen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Hersteller von Einwegkunststoffgetränkeflaschen, die hauptsächlich aus Polyethylenterephthalat bestehen, dürfen diese Flaschen ab dem 1. Januar 2025 nur in Verkehr bringen, wenn sie jeweils zu mindestens 25 Masseprozent aus Kunststoffrezyklaten bestehen. Ab dem 1. Januar 2030 dürfen Hersteller von sämtlichen Einwegkunststoffgetränkeflaschen diese Flaschen nur in Verkehr bringen, wenn sie jeweils zu mindestens 30 Masseprozent aus Kunststoffrezyklaten bestehen.</w:t>
      </w:r>
    </w:p>
    <w:p>
      <w:r>
        <w:t xml:space="preserve">(2) Ein Hersteller von Einwegkunststoffgetränkeflaschen kann die Vorgaben nach Absatz 1 auch dadurch erfüllen, dass die Gesamtmasse der von ihm in einem Kalenderjahr in Verkehr gebrachten Einwegkunststoffgetränkeflaschen einen entsprechenden Kunststoffrezyklatanteil aufweist. In diesem Fall hat er Art und Masse der von ihm für die Flaschenproduktion eingesetzten Kunststoffrezyklate sowie der insgesamt für die Flaschenproduktion verwendeten Kunststoffe in nachprüfbarer Form zu dokumentieren. Die Dokumentation ist der zuständigen Landesbehörde, auf deren Gebiet der Hersteller ansässig ist, auf Verlangen vorzulegen.</w:t>
      </w:r>
    </w:p>
    <w:p>
      <w:r>
        <w:t xml:space="preserve">(3) Die Absätze 1 und 2 finden keine Anwendung auf Einwegkunststoffgetränkeflaschen,</w:t>
      </w:r>
    </w:p>
    <w:p>
      <w:pPr>
        <w:ind w:left="420"/>
      </w:pPr>
      <w:r>
        <w:t xml:space="preserve">1. bei denen der Flaschenkörper aus Glas oder Metall besteht und lediglich die Verschlüsse, Deckel, Etiketten, Aufkleber oder Umhüllungen aus Kunststoff sind;</w:t>
      </w:r>
    </w:p>
    <w:p>
      <w:pPr>
        <w:ind w:left="420"/>
      </w:pPr>
      <w:r>
        <w:t xml:space="preserve">2. die für flüssige Lebensmittel für besondere medizinische Zwecke gemäß Artikel 2 Absatz 2 Buchstabe g der Verordnung (EU) Nr. 609/2013 des Europäischen Parlaments und des Rates vom 12. Juni 2013 über Lebensmittel für Säuglinge und Kleinkinder, Lebensmittel für besondere medizinische Zwecke und Tagesrationen für gewichtskontrollierende Ernährung und zur Aufhebung der Richtlinie 92/52/EWG des Rates, der Richtlinien 96/8/EG, 1999/21/EG, 2006/125/EG und 2006/141/EG der Kommission, der Richtlinie 2009/39/EG des Europäischen Parlaments und des Rates sowie der Verordnungen (EG) Nr. 41/2009 und (EG) Nr. 953/2009 des Rates und der Kommission (ABl. L 181 vom 29.6.2013, S. 35), die zuletzt durch die Verordnung (EU) 2017/1091 (ABl. L 158 vom 21.6.2017, S. 5) geändert worden ist, bestimmt sind und dafür verwendet werden.</w:t>
      </w:r>
    </w:p>
    <w:p>
      <w:r>
        <w:rPr>
          <w:color w:val="555555"/>
          <w:sz w:val="17"/>
        </w:rPr>
        <w:t xml:space="preserve">Zitiervorschlag: § 30a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