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VerpackG — Teilweiser Ausschluss des Widerspruchsverfahrens und der aufschiebenden Wirkung der Anfechtungsklage; Widerspruchsbehörde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10.06.2019 bis 12.08.2026. Dies ist nicht die aktuelle Fassung.</w:t>
      </w:r>
    </w:p>
    <w:p>
      <w:r>
        <w:t xml:space="preserve">(1) Vor Erhebung einer Anfechtungsklage gegen Verwaltungsakte nach § 26 Absatz 1 Satz 2 Nummer 14 bis 16 findet ein Widerspruchsverfahren nicht statt. In den Fällen des Satzes 1 hat die Anfechtungsklage keine aufschiebende Wirkung.</w:t>
      </w:r>
    </w:p>
    <w:p>
      <w:r>
        <w:t xml:space="preserve">(2) Soweit ein Widerspruchsverfahren stattfindet, entscheidet über den Widerspruch gegen einen Verwaltungsakt der Zentralen Stelle das Umweltbundesamt.</w:t>
      </w:r>
    </w:p>
    <w:p>
      <w:r>
        <w:rPr>
          <w:color w:val="555555"/>
          <w:sz w:val="17"/>
        </w:rPr>
        <w:t xml:space="preserve">Zitiervorschlag: § 30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