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VerpackG — Gemeinsame Stelle</w:t>
      </w:r>
    </w:p>
    <w:p>
      <w:r>
        <w:rPr>
          <w:color w:val="555555"/>
          <w:sz w:val="18"/>
        </w:rPr>
        <w:t xml:space="preserve">Verpackungsgesetz</w:t>
      </w:r>
    </w:p>
    <w:p>
      <w:r>
        <w:rPr>
          <w:color w:val="555555"/>
          <w:sz w:val="18"/>
        </w:rPr>
        <w:t xml:space="preserve">Historische Fassung: Stand 03.07.2021 bis 12.08.2026. Dies ist nicht die aktuelle Fassung.</w:t>
      </w:r>
    </w:p>
    <w:p>
      <w:r>
        <w:t xml:space="preserve">(1) Die Systeme haben sich an einer Gemeinsamen Stelle zu beteiligen. Die Genehmigung nach § 18 wird unwirksam, wenn ein System sich nicht innerhalb von drei Monaten nach Erteilung der Genehmigung an der Gemeinsamen Stelle beteiligt.</w:t>
      </w:r>
    </w:p>
    <w:p>
      <w:r>
        <w:t xml:space="preserve">(2) Die Gemeinsame Stelle hat insbesondere die folgenden Aufgaben:</w:t>
      </w:r>
    </w:p>
    <w:p>
      <w:pPr>
        <w:ind w:left="420"/>
      </w:pPr>
      <w:r>
        <w:t xml:space="preserve">1. Aufteilung der Entsorgungskosten auf Grundlage der von der Zentralen Stelle gemäß § 26 Absatz 1 Satz 2 Nummer 14 und 15 festgestellten Marktanteile;</w:t>
      </w:r>
    </w:p>
    <w:p>
      <w:pPr>
        <w:ind w:left="420"/>
      </w:pPr>
      <w:r>
        <w:t xml:space="preserve">2. Aufteilung der gemäß § 22 Absatz 9 vereinbarten Nebenentgelte auf Grundlage der von der Zentralen Stelle gemäß § 26 Absatz 1 Satz 2 Nummer 14 und 15 festgestellten Marktanteile;</w:t>
      </w:r>
    </w:p>
    <w:p>
      <w:pPr>
        <w:ind w:left="420"/>
      </w:pPr>
      <w:r>
        <w:t xml:space="preserve">3. wettbewerbsneutrale Koordination der Ausschreibungen nach § 23, insbesondere Bestimmung der Ausschreibungsführer für jedes Sammelgebiet;</w:t>
      </w:r>
    </w:p>
    <w:p>
      <w:pPr>
        <w:ind w:left="420"/>
      </w:pPr>
      <w:r>
        <w:t xml:space="preserve">4. Festlegung der Einzelheiten zur elektronischen Ausschreibungsplattform und zum Ausschreibungsverfahren gemäß § 23 Absatz 10;</w:t>
      </w:r>
    </w:p>
    <w:p>
      <w:pPr>
        <w:ind w:left="420"/>
      </w:pPr>
      <w:r>
        <w:t xml:space="preserve">5. Benennung der gemeinsamen Vertreter gemäß § 22 Absatz 7 Satz 1;</w:t>
      </w:r>
    </w:p>
    <w:p>
      <w:pPr>
        <w:ind w:left="420"/>
      </w:pPr>
      <w:r>
        <w:t xml:space="preserve">6. Benennung der Systemprüfer gemäß § 20 Absatz 4;</w:t>
      </w:r>
    </w:p>
    <w:p>
      <w:pPr>
        <w:ind w:left="420"/>
      </w:pPr>
      <w:r>
        <w:t xml:space="preserve">7. wettbewerbsneutrale Koordination der Informationsmaßnahmen nach § 14 Absatz 3 und Aufteilung der Kosten dieser Maßnahmen auf Grundlage der von der Zentralen Stelle gemäß § 26 Absatz 1 Satz 2 Nummer 14 und 15 festgestellten Marktanteile.</w:t>
      </w:r>
    </w:p>
    <w:p>
      <w:r>
        <w:t xml:space="preserve">(3) Die Gemeinsame Stelle muss gewährleisten, dass sie für alle Systeme zu gleichen Bedingungen zugänglich ist und die Vorschriften zum Schutz personenbezogener Daten sowie von Betriebs- und Geschäftsgeheimnissen eingehalten werden. Bei Entscheidungen, die die öffentlich-rechtlichen Entsorgungsträger betreffen, hört die Gemeinsame Stelle die kommunalen Spitzenverbände an.</w:t>
      </w:r>
    </w:p>
    <w:p>
      <w:r>
        <w:rPr>
          <w:color w:val="555555"/>
          <w:sz w:val="17"/>
        </w:rPr>
        <w:t xml:space="preserve">Zitiervorschlag: § 19 VerpackG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