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VerpackG — Pflichten der Systeme zur Sammlung, Verwertung und Information</w:t>
      </w:r>
    </w:p>
    <w:p>
      <w:r>
        <w:rPr>
          <w:color w:val="555555"/>
          <w:sz w:val="18"/>
        </w:rPr>
        <w:t xml:space="preserve">Verpackungsgesetz</w:t>
      </w:r>
    </w:p>
    <w:p>
      <w:r>
        <w:rPr>
          <w:color w:val="555555"/>
          <w:sz w:val="18"/>
        </w:rPr>
        <w:t xml:space="preserve">Historische Fassung: Stand 01.01.2022 bis 12.08.2026. Dies ist nicht die aktuelle Fassung.</w:t>
      </w:r>
    </w:p>
    <w:p>
      <w:r>
        <w:t xml:space="preserve">(1) Die Systeme sind verpflichtet, im Einzugsgebiet der beteiligten Hersteller eine vom gemischten Siedlungsabfall getrennte, flächendeckende Sammlung aller restentleerten Verpackungen bei den privaten Endverbrauchern (Holsystem) oder in deren Nähe (Bringsystem) oder durch eine Kombination beider Varianten in ausreichender Weise und für den privaten Endverbraucher unentgeltlich sicherzustellen. Die Sammelsysteme müssen geeignet sein, alle bei den privaten Endverbrauchern anfallenden restentleerten Verpackungen bei einer regelmäßigen Leerung aufzunehmen. Die Sammlung ist auf Abfälle privater Endverbraucher zu beschränken. Mehrere Systeme können bei der Einrichtung und dem Betrieb ihrer Sammelstrukturen zusammenwirken.</w:t>
      </w:r>
    </w:p>
    <w:p>
      <w:r>
        <w:t xml:space="preserve">(2) Die von den Systemen erfassten Abfälle sind einer Verwertung gemäß den Anforderungen des § 16 Absatz 1 Satz 1, Absatz 2 und Absatz 4 Satz 1 zuzuführen.</w:t>
      </w:r>
    </w:p>
    <w:p>
      <w:r>
        <w:t xml:space="preserve">(3) Unbeschadet der Regelung in § 22 Absatz 9 sind die Systeme verpflichtet, die privaten Endverbraucher in angemessenem Umfang über Sinn und Zweck der getrennten Sammlung von Verpackungsabfällen, die hierzu eingerichteten Sammelsysteme und die erzielten Verwertungsergebnisse zu informieren. Im Hinblick auf Einwegkunststoffverpackungen müssen die Systeme darüber hinaus über Folgendes informieren:</w:t>
      </w:r>
    </w:p>
    <w:p>
      <w:pPr>
        <w:ind w:left="420"/>
      </w:pPr>
      <w:r>
        <w:t xml:space="preserve">1. über die Auswirkungen einer Vermüllung auf die Umwelt, insbesondere auf die Meeresumwelt, sowie</w:t>
      </w:r>
    </w:p>
    <w:p>
      <w:pPr>
        <w:ind w:left="420"/>
      </w:pPr>
      <w:r>
        <w:t xml:space="preserve">2. über Maßnahmen zur Vermeidung dieser Vermüllung, insbesondere über die Verfügbarkeit von Mehrwegverpackungen als Alternative zu den in Teil G des Anhangs der Richtlinie (EU) 2019/904 des Europäischen Parlaments und des Rates vom 5. Juni 2019 über die Verringerung der Auswirkungen bestimmter Kunststoffprodukte auf die Umwelt (ABl. L 155 vom 12.6.2019, S. 1) genannten Einwegkunststoffverpackungen.</w:t>
      </w:r>
    </w:p>
    <w:p>
      <w:r>
        <w:t xml:space="preserve">Die Information hat in regelmäßigen Zeitabständen zu erfolgen und soll sowohl lokale als auch überregionale Maßnahmen beinhalten. Bei der Vorbereitung der Informationsmaßnahmen sind die Einrichtungen der kommunalen Abfallberatung und Verbraucherschutzorganisationen zu beteiligen.</w:t>
      </w:r>
    </w:p>
    <w:p>
      <w:r>
        <w:t xml:space="preserve">(4) Die Systeme haben die folgenden Informationen auf ihren Internetseiten zu veröffentlichen und regelmäßig zu aktualisieren:</w:t>
      </w:r>
    </w:p>
    <w:p>
      <w:pPr>
        <w:ind w:left="420"/>
      </w:pPr>
      <w:r>
        <w:t xml:space="preserve">1. ihre Eigentums- und Mitgliederverhältnisse,</w:t>
      </w:r>
    </w:p>
    <w:p>
      <w:pPr>
        <w:ind w:left="420"/>
      </w:pPr>
      <w:r>
        <w:t xml:space="preserve">2. die von den beteiligten Herstellern geleisteten Entgelte je in Verkehr gebrachter systembeteiligungspflichtiger Verpackung oder je Masseeinheit an systembeteiligungspflichtigen Verpackungen und</w:t>
      </w:r>
    </w:p>
    <w:p>
      <w:pPr>
        <w:ind w:left="420"/>
      </w:pPr>
      <w:r>
        <w:t xml:space="preserve">3. das Verfahren, das sie zur Auswahl der Abfallbewirtschaftungseinrichtungen verwenden, soweit diese nicht nach den Vorgaben des § 23 ausgewählt werden.</w:t>
      </w:r>
    </w:p>
    <w:p>
      <w:r>
        <w:t xml:space="preserve">Dies gilt nicht, wenn es sich um ein Geschäftsgeheimnis handelt. Die Zentrale Stelle kann bei Zweifeln an dem Vorliegen eines Geschäftsgeheimnisses von den Systemen eine Begründung in Textform verlangen, warum es sich bei der nicht veröffentlichten Information um ein Geschäftsgeheimnis handelt.</w:t>
      </w:r>
    </w:p>
    <w:p>
      <w:r>
        <w:rPr>
          <w:color w:val="555555"/>
          <w:sz w:val="17"/>
        </w:rPr>
        <w:t xml:space="preserve">Zitiervorschlag: § 14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