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VerpackG — Getrennte Sammlung</w:t>
      </w:r>
    </w:p>
    <w:p>
      <w:r>
        <w:rPr>
          <w:color w:val="555555"/>
          <w:sz w:val="18"/>
        </w:rPr>
        <w:t xml:space="preserve">Verpackungsgesetz</w:t>
      </w:r>
    </w:p>
    <w:p>
      <w:r>
        <w:rPr>
          <w:color w:val="555555"/>
          <w:sz w:val="18"/>
        </w:rPr>
        <w:t xml:space="preserve">Historische Fassung: Stand 10.06.2019 bis 12.08.2026. Dies ist nicht die aktuelle Fassung.</w:t>
      </w:r>
    </w:p>
    <w:p>
      <w:r>
        <w:t xml:space="preserve">Beim privaten Endverbraucher als Abfall anfallende restentleerte Verpackungen sind, unbeschadet der Vorgaben nach der Gewerbeabfallverordnung, einer vom gemischten Siedlungsabfall getrennten Sammlung gemäß den nachfolgenden Vorschriften zuzuführen.</w:t>
      </w:r>
    </w:p>
    <w:p>
      <w:r>
        <w:rPr>
          <w:color w:val="555555"/>
          <w:sz w:val="17"/>
        </w:rPr>
        <w:t xml:space="preserve">Zitiervorschlag: § 13 VerpackG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