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VerpackG — Ausnahmen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01.07.2022 bis 12.08.2026. Dies ist nicht die aktuelle Fassung.</w:t>
      </w:r>
    </w:p>
    <w:p>
      <w:r>
        <w:t xml:space="preserve">(1) Die Vorschriften dieses Abschnitts gelten nicht für Verpackungen, die nachweislich nicht im Geltungsbereich dieses Gesetzes an Endverbraucher abgegeben werden.</w:t>
      </w:r>
    </w:p>
    <w:p>
      <w:r>
        <w:t xml:space="preserve">(2) Die Vorschriften dieses Abschnitts, mit Ausnahme von § 9, gelten nicht für</w:t>
      </w:r>
    </w:p>
    <w:p>
      <w:pPr>
        <w:ind w:left="420"/>
      </w:pPr>
      <w:r>
        <w:t xml:space="preserve">1. Mehrwegverpackungen,</w:t>
      </w:r>
    </w:p>
    <w:p>
      <w:pPr>
        <w:ind w:left="420"/>
      </w:pPr>
      <w:r>
        <w:t xml:space="preserve">2. Einweggetränkeverpackungen, die nach § 31 der Pfandpflicht unterliegen,</w:t>
      </w:r>
    </w:p>
    <w:p>
      <w:pPr>
        <w:ind w:left="420"/>
      </w:pPr>
      <w:r>
        <w:t xml:space="preserve">3. Verkaufsverpackungen schadstoffhaltiger Füllgüter.</w:t>
      </w:r>
    </w:p>
    <w:p>
      <w:r>
        <w:rPr>
          <w:color w:val="555555"/>
          <w:sz w:val="17"/>
        </w:rPr>
        <w:t xml:space="preserve">Zitiervorschlag: § 12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