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VerpackDG — Systembeteiligungspflicht</w:t>
      </w:r>
    </w:p>
    <w:p>
      <w:r>
        <w:rPr>
          <w:color w:val="555555"/>
          <w:sz w:val="18"/>
        </w:rPr>
        <w:t xml:space="preserve">Verpackungsrecht-Durchführungsgesetz</w:t>
      </w:r>
    </w:p>
    <w:p>
      <w:r>
        <w:rPr>
          <w:color w:val="555555"/>
          <w:sz w:val="18"/>
        </w:rPr>
        <w:t xml:space="preserve">Stand: 12.08.2026 (konsolidierte Textfassung, kein amtliches Inkrafttretensdatum)</w:t>
      </w:r>
    </w:p>
    <w:p>
      <w:r>
        <w:t xml:space="preserve">(1) Hersteller von systembeteiligungspflichtigen Verpackungen haben sich mit diesen Verpackungen zur Gewährleistung der flächendeckenden Rücknahme vor der Bereitstellung oder, im Falle des Artikels 3 Absatz 1 Nummer 15 Buchstabe e der Verordnung (EU) 2025/40 in der Fassung vom 19. Dezember 2024 vor dem Auspacken verpackter Produkte, im Bundesgebiet an einem oder mehreren Systemen zu beteiligen. Dabei haben sie Materialart und Masse der zu beteiligenden Verpackungen sowie die Registrierungsnummer nach § 6 Absatz 3 Satz 2 anzugeben. Das System hat dem Hersteller eine erfolgte Beteiligung unter Angabe von Materialart und Masse der beteiligten Verpackungen unverzüglich schriftlich oder elektronisch zu bestätigen; dies gilt auch, wenn die Beteiligung durch einen beauftragten Dritten nach § 5 Absatz 1 Satz 1 vermittelt wurde.</w:t>
      </w:r>
    </w:p>
    <w:p>
      <w:r>
        <w:t xml:space="preserve">(2) Abweichend von Absatz 1 Satz 1 kann ein Hersteller von systembeteiligungspflichtigen Serviceverpackungen, der nach Artikel 21 der Verordnung (EU) 2025/40 als Erzeuger gilt, von den Vorvertreibern dieser Serviceverpackungen verlangen, dass sie sich hinsichtlich der von ihnen gelieferten unbefüllten Serviceverpackungen an einem oder mehreren Systemen beteiligen. Der ursprünglich nach Absatz 1 Satz 1 verpflichtete Hersteller kann von demjenigen Vorvertreiber, auf den die Systembeteiligungspflicht nach Satz 1 übergeht, eine Bestätigung über die erfolgte Systembeteiligung verlangen. Mit der Übertragung der Systembeteiligungspflicht gehen auch die Herstellerpflichten nach den §§ 6, 9 und 10 insoweit auf den verpflichteten Vorvertreiber über; der Hersteller nach Absatz 1 Satz 1 bleibt jedoch zusätzlich selbst zur Registrierung nach § 6 verpflichtet.</w:t>
      </w:r>
    </w:p>
    <w:p>
      <w:r>
        <w:t xml:space="preserve">(3) Soweit im Bundesgebiet bereitgestellte systembeteiligungspflichtige Verpackungen wegen Beschädigung oder Unverkäuflichkeit nicht an den Endabnehmer abgegeben werden, kann der Hersteller die von ihm für die Systembeteiligung geleisteten Entgelte von den betreffenden Systemen zurückverlangen, wenn er die Verpackungen zurückgenommen und einer Verwertung entsprechend den Anforderungen des § 42 Absatz 5 zugeführt hat. Die Rücknahme und anschließende Verwertung sind in jedem Einzelfall in nachprüfbarer Form zu dokumentieren. In diesem Fall gelten die betreffenden Verpackungen nach Erstattung der Beteiligungsentgelte nicht mehr als im Bundesgebiet bereitgestellt.</w:t>
      </w:r>
    </w:p>
    <w:p>
      <w:r>
        <w:t xml:space="preserve">(4) Wird die Zulassung eines Systems vor Ablauf des Zeitraums, für den sich ein Hersteller an diesem System beteiligt hat, nach Artikel 47 Absatz 5 der Verordnung (EU) 2025/40 oder nach § 23 Absatz 2 widerrufen, so gilt die Systembeteiligung ab dem Zeitpunkt der Wirksamkeit des Widerrufs als nicht vorgenommen.</w:t>
      </w:r>
    </w:p>
    <w:p>
      <w:r>
        <w:t xml:space="preserve">(5) Soweit durch die Aufnahme einer systembeteiligungspflichtigen Verpackung in ein System zu befürchten ist, dass die umweltverträgliche Abfallbewirtschaftung, insbesondere die Durchführung einer ordnungsgemäßen und schadlosen Verwertung, erheblich beeinträchtigt oder das Wohl der Allgemeinheit, insbesondere die Gesundheit, gefährdet wird, kann die Zentrale Stelle Verpackungsregister die Aufnahme der systembeteiligungspflichtigen Verpackung im Einzelfall wegen Systemunverträglichkeit untersagen. Die Untersagung ist aufzuheben, wenn ein System oder der Hersteller die Systemverträglichkeit der betreffenden Verpackung nachweist.</w:t>
      </w:r>
    </w:p>
    <w:p>
      <w:r>
        <w:t xml:space="preserve">(6) Es ist Systembetreibern verboten, Vertreibern ein Entgelt oder sonstige wirtschaftliche Vorteile für den Fall zu versprechen oder zu gewähren, dass die Vertreiber Hersteller von systembeteiligungspflichtigen Verpackungen an ihr System vermitteln.</w:t>
      </w:r>
    </w:p>
    <w:p>
      <w:r>
        <w:rPr>
          <w:color w:val="555555"/>
          <w:sz w:val="17"/>
        </w:rPr>
        <w:t xml:space="preserve">Zitiervorschlag: § 7 VerpackDG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https://recht.nulegal.eu/gesetze/VerpackDG/7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