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VerpackDG — Partieller Ausschluss des Widerspruchsverfahrens und der aufschiebenden Wirkung der Anfechtungsklage; Widerspruchsbehörde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(1) Vor Erhebung einer Klage gegen Verwaltungsakte nach § 54 Absatz 1 Satz 2 Nummer 23 bis 25 findet ein Widerspruchsverfahren nicht statt. In den Fällen des Satzes 1 hat eine Anfechtungsklage keine aufschiebende Wirkung.</w:t>
      </w:r>
    </w:p>
    <w:p>
      <w:r>
        <w:t xml:space="preserve">(2) In Fällen, in welchen ein Widerspruchsverfahren stattfindet, entscheidet über den Widerspruch gegen einen Verwaltungsakt der Zentralen Stelle Verpackungsregister das Umweltbundesamt.</w:t>
      </w:r>
    </w:p>
    <w:p>
      <w:r>
        <w:rPr>
          <w:color w:val="555555"/>
          <w:sz w:val="17"/>
        </w:rPr>
        <w:t xml:space="preserve">Zitiervorschlag: § 58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