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VerpackDG — Gesamtumlage und Kalkulationszeitraum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(1) Die Umlagen nach § 50 Absatz 2 und § 51 Absatz 2 bilden jeweils einen Teil einer gemeinsamen Gesamtumlage.</w:t>
      </w:r>
    </w:p>
    <w:p>
      <w:r>
        <w:t xml:space="preserve">(2) Die Gesamtumlage nach Absatz 1 ist für einen Kalkulationszeitraum von höchstens einem Geschäftsjahr zu bemessen.</w:t>
      </w:r>
    </w:p>
    <w:p>
      <w:r>
        <w:rPr>
          <w:color w:val="555555"/>
          <w:sz w:val="17"/>
        </w:rPr>
        <w:t xml:space="preserve">Zitiervorschlag: § 52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