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VerpackDG — Getrennte Sammlung</w:t>
      </w:r>
    </w:p>
    <w:p>
      <w:r>
        <w:rPr>
          <w:color w:val="555555"/>
          <w:sz w:val="18"/>
        </w:rPr>
        <w:t xml:space="preserve">Verpackungsrecht-Durchführungsgesetz</w:t>
      </w:r>
    </w:p>
    <w:p>
      <w:r>
        <w:rPr>
          <w:color w:val="555555"/>
          <w:sz w:val="18"/>
        </w:rPr>
        <w:t xml:space="preserve">Stand: 12.08.2026 (konsolidierte Textfassung, kein amtliches Inkrafttretensdatum)</w:t>
      </w:r>
    </w:p>
    <w:p>
      <w:r>
        <w:t xml:space="preserve">Restentleerte Verpackungen, die in privaten Haushaltungen oder bei vergleichbaren Anfallstellen als Abfall anfallen, sind einer vom gemischten Siedlungsabfall getrennten Sammlung nach den nachfolgenden Vorschriften dieses Kapitels zuzuführen. Die Vorgaben nach der Gewerbeabfallverordnung bleiben unberührt. Davon ausgenommen sind Verpackungen nach Artikel 3 Absatz 1 Nummer 1 Buchstabe f der Verordnung (EU) 2025/40.</w:t>
      </w:r>
    </w:p>
    <w:p>
      <w:r>
        <w:rPr>
          <w:color w:val="555555"/>
          <w:sz w:val="17"/>
        </w:rPr>
        <w:t xml:space="preserve">Zitiervorschlag: § 38 VerpackDG</w:t>
      </w:r>
    </w:p>
    <w:p>
      <w:r>
        <w:rPr>
          <w:color w:val="555555"/>
          <w:sz w:val="17"/>
        </w:rPr>
        <w:t xml:space="preserve">Quelle: Bundesamt für Justiz, abgerufen 12.08.2026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https://recht.nulegal.eu/gesetze/VerpackDG/38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