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VerpackDG — Anwendbarkeit des Gesetzes gegen Wettbewerbsbeschränkungen und der Vergabeverordnung</w:t>
      </w:r>
    </w:p>
    <w:p>
      <w:r>
        <w:rPr>
          <w:color w:val="555555"/>
          <w:sz w:val="18"/>
        </w:rPr>
        <w:t xml:space="preserve">Verpackungsrecht-Durchführungsgesetz</w:t>
      </w:r>
    </w:p>
    <w:p>
      <w:r>
        <w:rPr>
          <w:color w:val="555555"/>
          <w:sz w:val="18"/>
        </w:rPr>
        <w:t xml:space="preserve">Stand: 12.08.2026 (konsolidierte Textfassung, kein amtliches Inkrafttretensdatum)</w:t>
      </w:r>
    </w:p>
    <w:p>
      <w:r>
        <w:t xml:space="preserve">Soweit in den §§ 32 bis 36 nichts anderes geregelt ist, gelten die §§ 121 bis 126, 128 und 132 Absatz 1 bis 4 des Gesetzes gegen Wettbewerbsbeschränkungen und § 133 des Gesetzes gegen Wettbewerbsbeschränkungen sowie die §§ 5 bis 7 und 29 Absatz 1 der Vergabeverordnung, die §§ 31 bis 34, 36, 43 bis 47 und 48 Absatz 1, 2 und 4 bis 8 der Vergabeverordnung, die §§ 49 und 53 Absatz 7 bis 9 der Vergabeverordnung, die §§ 56, 57 und 60 Absatz 1 bis 3 der Vergabeverordnung und die §§ 61 und 63 der Vergabeverordnung entsprechend.</w:t>
      </w:r>
    </w:p>
    <w:p>
      <w:r>
        <w:rPr>
          <w:color w:val="555555"/>
          <w:sz w:val="17"/>
        </w:rPr>
        <w:t xml:space="preserve">Zitiervorschlag: § 37 VerpackDG</w:t>
      </w:r>
    </w:p>
    <w:p>
      <w:r>
        <w:rPr>
          <w:color w:val="555555"/>
          <w:sz w:val="17"/>
        </w:rPr>
        <w:t xml:space="preserve">Quelle: Bundesamt für Justiz, abgerufen 12.08.2026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https://recht.nulegal.eu/gesetze/VerpackDG/37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