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VerpackDG — Durchführung des Ausschreibungsverfahrens</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Auftragnehmer werden in einem offenen Ausschreibungsverfahren ermittelt. Der Ausschreibungsführer teilt seine Absicht, einen Sammelauftrag zu vergeben, in einer Auftragsbekanntmachung über die elektronische Ausschreibungsplattform öffentlich mit. Mit der Auftragsbekanntmachung hat er zugleich alle für die Abgabe eines Angebots erforderlichen Unterlagen bereitzustellen. Jedes interessierte Unternehmen kann ein Angebot abgeben.</w:t>
      </w:r>
    </w:p>
    <w:p>
      <w:r>
        <w:t xml:space="preserve">(2) Die Frist für den Eingang der Angebote beträgt mindestens 60 Tage, gerechnet ab dem Tag nach der Veröffentlichung der Auftragsbekanntmachung. Wenn innerhalb der Frist nach Satz 1 keine geeigneten Angebote abgegeben worden sind, kann der Auftrag im Verhandlungsverfahren ohne Teilnahmewettbewerb vergeben werden; ein Angebot gilt als ungeeignet, wenn es offensichtlich nicht den in den Ausschreibungsunterlagen genannten Bedürfnissen und Anforderungen entspricht.</w:t>
      </w:r>
    </w:p>
    <w:p>
      <w:r>
        <w:t xml:space="preserve">(3) Der Ausschreibungsführer ist verpflichtet, die einzelnen Schritte des Ausschreibungsverfahrens zeitnah zu dokumentieren. Hierzu stellt er sicher, dass er über ausreichend Dokumentation verfügt, um Entscheidungen in allen Phasen des Ausschreibungsverfahrens, insbesondere zur Prüfung der vorgelegten Angebote und zur Zuschlagsentscheidung, nachvollziehbar zu begründen. Der Betreiber der elektronischen Ausschreibungsplattform hat die Ermittlung der preisgünstigsten Angebote gleichermaßen zu dokumentieren. Die Dokumentation ist für mindestens drei Jahre ab dem Tag des Zuschlags aufzubewahren.</w:t>
      </w:r>
    </w:p>
    <w:p>
      <w:r>
        <w:t xml:space="preserve">(4) Soweit Verpackungen aus Papier, Pappe und Karton zusammen mit stoffgleichen Nichtverpackungen im Wege der Mitbenutzung nach § 28 Absatz 2 in einem Sammelbehälter erfasst werden, können die Systeme und der öffentlich-rechtliche Entsorgungsträger die Sammelleistung gemeinsam ausschreiben. Die Systeme und der öffentlich-rechtliche Entsorgungsträger können in diesem Fall auch den jeweils anderen mit der Durchführung des Ausschreibungsverfahrens beauftragen. In beiden Fällen sind die vergaberechtlichen Vorgaben, die aufgrund anderer Rechtsvorschriften für den öffentlich-rechtlichen Entsorgungsträger gelten, vorrangig anzuwenden. Soweit das Ausschreibungsverfahren gemeinsam durchgeführt wird, sind alle beteiligten Auftraggeber für die Einhaltung der Bestimmungen über das Ausschreibungsverfahren gemeinsam verantwortlich.</w:t>
      </w:r>
    </w:p>
    <w:p>
      <w:r>
        <w:rPr>
          <w:color w:val="555555"/>
          <w:sz w:val="17"/>
        </w:rPr>
        <w:t xml:space="preserve">Zitiervorschlag: § 33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