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VerpackDG — Weitere Pflichten der Systeme im Rahmen der Abstimmungsvereinbarungen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In einem Gebiet, in dem mehrere Systeme eingerichtet werden oder eingerichtet sind, sind die Systembetreiber verpflichtet, einen gemeinsamen Vertreter zu benennen, der mit dem öffentlich-rechtlichen Entsorgungsträger die Verhandlungen über den erstmaligen Abschluss sowie jede Änderung der Abstimmungsvereinbarung führt. Der Abschluss sowie jede Änderung der Abstimmungsvereinbarung bedürfen der Zustimmung des öffentlich-rechtlichen Entsorgungsträgers sowie von mindestens zwei Dritteln der an der Abstimmungsvereinbarung beteiligten Systeme. Ein System, das in einem Gebiet mit bereits bestehender Abstimmungsvereinbarung eingerichtet wird, hat sich der vorhandenen Abstimmungsvereinbarung zu unterwerfen.</w:t>
      </w:r>
    </w:p>
    <w:p>
      <w:r>
        <w:t xml:space="preserve">(2) Ein System ist verpflichtet, sich entsprechend seinem Marktanteil an den Kosten zu beteiligen, die den öffentlich-rechtlichen Entsorgungsträgern durch Abfallberatung in Bezug auf die von den Systemen durchgeführte Sammlung nach § 40 Absatz 1 sowie durch die Errichtung, Bereitstellung, Unterhaltung und Sauberhaltung von Flächen, auf denen von den Systemen genutzte Sammelgroßbehältnisse aufgestellt werden, entstehen. Zur Berechnung der Kosten sind die in § 9 des Bundesgebührengesetzes festgelegten Grundlagen der Gebührenbemessung anzuwenden.</w:t>
      </w:r>
    </w:p>
    <w:p>
      <w:r>
        <w:rPr>
          <w:color w:val="555555"/>
          <w:sz w:val="17"/>
        </w:rPr>
        <w:t xml:space="preserve">Zitiervorschlag: § 31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