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VerpackDG — Berechnung der Entgelte</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Zur Bestimmung eines angemessenen Entgelts für die Mitbenutzung nach § 28 Absatz 2 haben sich die Parteien an den in § 9 des Bundesgebührengesetzes festgelegten Grundlagen der Gebührenbemessung zu orientieren. Ansatzfähig ist dabei nur der Anteil der Kosten, der bei einer Sammlung nach § 28 Absatz 2 Satz 1 und 2 dem Anteil der Verpackungsabfälle aus Papier, Pappe und Karton und bei einer Sammlung nach § 28 Absatz 2 Satz 3 dem Anteil der Nichtverpackungsabfälle aus Papier, Pappe und Karton an der Gesamtmenge der in den Sammelbehältern erfassten Abfälle entspricht; der Anteil kann nach Vorgabe des öffentlich-rechtlichen Entsorgungsträgers entweder als Masseanteil oder als Volumenanteil berechnet werden.</w:t>
      </w:r>
    </w:p>
    <w:p>
      <w:r>
        <w:t xml:space="preserve">(2) Einigen sich die Parteien nach § 28 Absatz 2 zugleich auf eine gemeinsame Verwertung durch den die Sammlung Durchführenden, so ist bei der Bestimmung des angemessenen Entgelts auch der jeweilige Marktwert der Verpackungs- und Nichtverpackungsabfälle zu berücksichtigen. Sofern keine gemeinsame Verwertung vereinbart wird, kann der jeweils die Sammlung des anderen Mitnutzende die Herausgabe eines Masseanteils verlangen, der dem Anteil an der Gesamtmasse der in den Sammelbehältern erfassten Abfälle entspricht, der in seiner Verantwortung zu entsorgen ist. Derjenige, der den Herausgabeanspruch geltend macht, hat die durch die Übergabe der Abfälle zusätzlich verursachten Kosten zu tragen sowie einen Wertausgleich für den Fall zu leisten, dass der Marktwert des an ihn zu übertragenden Masseanteils an dem Sammelgemisch über dem Marktwert der Verpackungs- oder Nichtverpackungsabfälle liegt, die er bei einer getrennten Sammlung in eigener Verantwortung zu entsorgen hätte.</w:t>
      </w:r>
    </w:p>
    <w:p>
      <w:r>
        <w:t xml:space="preserve">(3) Zur Bestimmung eines angemessenen Entgelts für die Mitbenutzung nach § 28 Absatz 3 haben sich die Parteien an den in § 9 des Bundesgebührengesetzes festgelegten Grundlagen der Gebührenbemessung zu orientieren. Ansatzfähig ist dabei nur der Anteil der Kosten, der dem Anteil der Verpackungsabfälle an der Gesamtmenge der in den Wertstoffhöfen erfassten Abfälle entspricht; der Anteil kann nach Vorgabe des öffentlich-rechtlichen Entsorgungsträgers entweder als Masseanteil oder als Volumenanteil berechnet werden.</w:t>
      </w:r>
    </w:p>
    <w:p>
      <w:r>
        <w:rPr>
          <w:color w:val="555555"/>
          <w:sz w:val="17"/>
        </w:rPr>
        <w:t xml:space="preserve">Zitiervorschlag: § 30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