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VerpackDG — Rahmenvorgabe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Ein öffentlich-rechtlicher Entsorgungsträger kann durch schriftlichen Verwaltungsakt gegenüber den Systemen festlegen, wie die nach § 40 Absatz 1 durchzuführende Sammlung der restentleerten Kunststoff-, Metall- und Verbundverpackungen bei privaten Haushaltungen auszugestalten ist. Dieser darf umfassen:</w:t>
      </w:r>
    </w:p>
    <w:p>
      <w:pPr>
        <w:ind w:left="420"/>
      </w:pPr>
      <w:r>
        <w:t xml:space="preserve">1. die Art des Sammelsystems, entweder Holsystem, Bringsystem oder Kombination aus beiden Sammelsystemen,</w:t>
      </w:r>
    </w:p>
    <w:p>
      <w:pPr>
        <w:ind w:left="420"/>
      </w:pPr>
      <w:r>
        <w:t xml:space="preserve">2. die Art und Größe der Sammelbehälter, sofern es sich um Standard-Sammelbehälter handelt, sowie</w:t>
      </w:r>
    </w:p>
    <w:p>
      <w:pPr>
        <w:ind w:left="420"/>
      </w:pPr>
      <w:r>
        <w:t xml:space="preserve">3. die Häufigkeit und den Zeitraum der Behälterleerungen.</w:t>
      </w:r>
    </w:p>
    <w:p>
      <w:r>
        <w:t xml:space="preserve">(2) Die Rahmenvorgabe nach Absatz 1 muss geeignet ist sein, eine möglichst effektive und umweltverträgliche Erfassung der Abfälle aus privaten Haushaltungen sicherzustellen, und ihre Befolgung darf den Systemen bei der Erfüllung ihrer Aufgaben nach diesem Gesetz nicht technisch unmöglich oder wirtschaftlich unzumutbar sein. Die Rahmenvorgabe darf nicht über den Entsorgungsstandard hinausgehen, welchen der öffentlich-rechtliche Entsorgungsträger der in seiner Verantwortung durchzuführenden Sammlung der gemischten Siedlungsabfälle aus privaten Haushaltungen zugrunde legt.</w:t>
      </w:r>
    </w:p>
    <w:p>
      <w:r>
        <w:t xml:space="preserve">(3) Rahmenvorgaben können frühestens nach Ablauf von drei Jahren geändert werden. Jede Änderung ist mit einem angemessenen zeitlichen Vorlauf, mindestens jedoch ein Jahr vor ihrem Wirksamwerden, den Systemen bekannt zu geben.</w:t>
      </w:r>
    </w:p>
    <w:p>
      <w:r>
        <w:rPr>
          <w:color w:val="555555"/>
          <w:sz w:val="17"/>
        </w:rPr>
        <w:t xml:space="preserve">Zitiervorschlag: § 29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