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VerpackDG — Gemeinsame Stelle der Systeme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Die Systeme haben sich an einer Gemeinsamen Stelle zu beteiligen. Die Zulassung nach § 20 wird unwirksam, wenn ein System sich nicht innerhalb von drei Monaten nach Erteilung der Zulassung an der Gemeinsamen Stelle beteiligt.</w:t>
      </w:r>
    </w:p>
    <w:p>
      <w:r>
        <w:t xml:space="preserve">(2) Die Gemeinsame Stelle hat insbesondere die folgenden Aufgaben:</w:t>
      </w:r>
    </w:p>
    <w:p>
      <w:pPr>
        <w:ind w:left="420"/>
      </w:pPr>
      <w:r>
        <w:t xml:space="preserve">1. Aufteilung der Entsorgungskosten auf Grundlage der von der Zentralen Stelle Verpackungsregister nach § 54 Absatz 1 Satz 2 Nummer 23 und 24 festgestellten Marktanteile;</w:t>
      </w:r>
    </w:p>
    <w:p>
      <w:pPr>
        <w:ind w:left="420"/>
      </w:pPr>
      <w:r>
        <w:t xml:space="preserve">2. Aufteilung der nach § 31 Absatz 2 vereinbarten Nebenentgelte auf Grundlage der von der Zentralen Stelle Verpackungsregister nach § 54 Absatz 1 Satz 2 Nummer 23 und 24 festgestellten Marktanteile;</w:t>
      </w:r>
    </w:p>
    <w:p>
      <w:pPr>
        <w:ind w:left="420"/>
      </w:pPr>
      <w:r>
        <w:t xml:space="preserve">3. wettbewerbsneutrale Koordination der Ausschreibungen nach den §§ 32 bis 37, insbesondere Bestimmung der Ausschreibungsführer für jedes Sammelgebiet;</w:t>
      </w:r>
    </w:p>
    <w:p>
      <w:pPr>
        <w:ind w:left="420"/>
      </w:pPr>
      <w:r>
        <w:t xml:space="preserve">4. Festlegung der Einzelheiten zur elektronischen Ausschreibungsplattform und zum Ausschreibungsverfahren nach § 36;</w:t>
      </w:r>
    </w:p>
    <w:p>
      <w:pPr>
        <w:ind w:left="420"/>
      </w:pPr>
      <w:r>
        <w:t xml:space="preserve">5. Benennung der gemeinsamen Vertreter nach § 31 Absatz 1 Satz 1;</w:t>
      </w:r>
    </w:p>
    <w:p>
      <w:pPr>
        <w:ind w:left="420"/>
      </w:pPr>
      <w:r>
        <w:t xml:space="preserve">6. Benennung der Systemprüfer nach § 25 Absatz 4;</w:t>
      </w:r>
    </w:p>
    <w:p>
      <w:pPr>
        <w:ind w:left="420"/>
      </w:pPr>
      <w:r>
        <w:t xml:space="preserve">7. wettbewerbsneutrale Koordination der Informationsmaßnahmen nach § 40 Absatz 3 und Aufteilung der Kosten dieser Maßnahmen auf Grundlage der von der Zentralen Stelle Verpackungsregister nach § 54 Absatz 1 Satz 2 Nummer 23 und 24 festgestellten Marktanteile.</w:t>
      </w:r>
    </w:p>
    <w:p>
      <w:r>
        <w:t xml:space="preserve">(3) Die Gemeinsame Stelle muss gewährleisten, dass sie für alle Systeme zu gleichen Bedingungen zugänglich ist und die Vorschriften zum Schutz von Betriebs- und Geschäftsgeheimnissen eingehalten werden. Bei Entscheidungen, die die öffentlich-rechtlichen Entsorgungsträger betreffen, hört die Gemeinsame Stelle die kommunalen Spitzenverbände an.</w:t>
      </w:r>
    </w:p>
    <w:p>
      <w:r>
        <w:rPr>
          <w:color w:val="555555"/>
          <w:sz w:val="17"/>
        </w:rPr>
        <w:t xml:space="preserve">Zitiervorschlag: § 24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