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VerpackDG — Widerruf der Zulassung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Zentrale Stelle Verpackungsregister kann die Zulassung nach § 19 Absatz 2 ganz oder teilweise widerrufen, wenn eine der in § 19 Absatz 2 Satz 1 genannten Voraussetzungen nicht oder nicht mehr vorliegt; Artikel 47 Absatz 5 der Verordnung (EU) 2025/40 ist zu beachten. Die Zulassung ist zu widerrufen, wenn die Zentrale Stelle Verpackungsregister feststellt, dass der Hersteller seinen Betrieb eingestellt hat, oder wenn er seiner finanziellen Verpflichtung gegenüber der Zentralen Stelle Verpackungsregister aus der Finanzierungsvereinbarung auf Mahnung, die nach dem Eintritt der Fälligkeit erfolgt, nicht fristgemäß nachkommt.</w:t>
      </w:r>
    </w:p>
    <w:p>
      <w:r>
        <w:t xml:space="preserve">(2) Die nach § 20 Absatz 1 Satz 1 zuständige Landesbehörde kann die Zulassung nach § 20 Absatz 2 ganz oder teilweise widerrufen, wenn ein System seinen Pflichten nach § 40 Absatz 1 und 2 nicht nachkommt oder wenn eine der in § 20 Absatz 2 Satz 1 genannten Voraussetzungen nicht oder nicht mehr vorliegt; Artikel 47 Absatz 5 der Verordnung (EU) 2025/40 ist zu beachten. Die Zulassung ist zu widerrufen, wenn die zuständige Landesbehörde feststellt, dass der Betrieb des Systems eingestellt wurde.</w:t>
      </w:r>
    </w:p>
    <w:p>
      <w:r>
        <w:t xml:space="preserve">(3) Die Zentrale Stelle Verpackungsregister kann die Zulassung nach § 22 Absatz 2 ganz oder teilweise widerrufen, wenn eine sonstige Organisation für Herstellerverantwortung ihren Pflichten nach § 41 Absatz 1 und 2 nicht nachkommt oder eine der in § 22 Absatz 2 Satz 1 genannten Voraussetzungen nicht oder nicht mehr vorliegt; Artikel 47 Absatz 5 der Verordnung (EU) 2025/40 ist zu beachten. Die Zulassung ist zu widerrufen, wenn die Zentrale Stelle Verpackungsregister feststellt, dass der Betrieb der sonstigen Organisation für Herstellerverantwortung eingestellt wurde.</w:t>
      </w:r>
    </w:p>
    <w:p>
      <w:r>
        <w:t xml:space="preserve">(4) Der Widerruf der Zulassung nach den Absätzen 1 bis 3 ist öffentlich bekannt zu geben.</w:t>
      </w:r>
    </w:p>
    <w:p>
      <w:r>
        <w:rPr>
          <w:color w:val="555555"/>
          <w:sz w:val="17"/>
        </w:rPr>
        <w:t xml:space="preserve">Zitiervorschlag: § 23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