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VerpackDG — Zulassung sonstiger Organisationen für Herstellerverantwortung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Der Betrieb einer sonstigen Organisation für Herstellerverantwortung bedarf der Zulassung durch die Zentrale Stelle Verpackungsregister. Die Zulassung ist auf der Internetseite der Zentralen Stelle Verpackungsregister bekannt zu geben und vom Zeitpunkt der öffentlichen Bekanntgabe an wirksam. Die Zentrale Stelle Verpackungsregister veröffentlicht eine Liste der nach Absatz 2 zugelassenen sonstigen Organisationen für Herstellerverantwortung auf ihrer Internetseite.</w:t>
      </w:r>
    </w:p>
    <w:p>
      <w:r>
        <w:t xml:space="preserve">(2) Die Zentrale Stelle Verpackungsregister erteilt einer sonstigen Organisation für Herstellerverantwortung auf Antrag innerhalb einer Frist von drei Monaten ab Einreichung aller für die Bearbeitung erforderlichen Informationen und Unterlagen die Zulassung, wenn die sonstige Organisation für Herstellerverantwortung</w:t>
      </w:r>
    </w:p>
    <w:p>
      <w:pPr>
        <w:ind w:left="420"/>
      </w:pPr>
      <w:r>
        <w:t xml:space="preserve">1. eine klar definierte Abdeckung in Bezug auf ein geografisches Gebiet, Verpackungen und Materialien hat, die sich nicht auf die Bereiche beschränkt, in denen die Sammlung und Bewirtschaftung von Abfällen am profitabelsten ist,</w:t>
      </w:r>
    </w:p>
    <w:p>
      <w:pPr>
        <w:ind w:left="420"/>
      </w:pPr>
      <w:r>
        <w:t xml:space="preserve">2. in Bezug auf diejenigen Verpackungen, für die sie die Erfüllung der Verpflichtungen im Rahmen der erweiterten Herstellerverantwortung wahrnimmt, Abfallsammelsysteme in ausreichender Weise bereitstellt,</w:t>
      </w:r>
    </w:p>
    <w:p>
      <w:pPr>
        <w:ind w:left="420"/>
      </w:pPr>
      <w:r>
        <w:t xml:space="preserve">3. die zu den Zwecken nach Nummer 2 erforderlichen Vorkehrungen, insbesondere Vereinbarungen, mit Vertreibern, Behörden oder Dritten getroffen wurden, die in ihrem Namen Abfallbewirtschaftung durchführen,</w:t>
      </w:r>
    </w:p>
    <w:p>
      <w:pPr>
        <w:ind w:left="420"/>
      </w:pPr>
      <w:r>
        <w:t xml:space="preserve">4. eine angemessene, insolvenzfeste Sicherheit nach Absatz 3 geleistet hat,</w:t>
      </w:r>
    </w:p>
    <w:p>
      <w:pPr>
        <w:ind w:left="420"/>
      </w:pPr>
      <w:r>
        <w:t xml:space="preserve">5. eine Finanzierungsvereinbarung nach § 51 Absatz 1 Satz 2 abgeschlossen hat und</w:t>
      </w:r>
    </w:p>
    <w:p>
      <w:pPr>
        <w:ind w:left="420"/>
      </w:pPr>
      <w:r>
        <w:t xml:space="preserve">6. die Anforderungen nach § 20 Absatz 2 Nummer 3 und 5 entsprechend erfüllt.</w:t>
      </w:r>
    </w:p>
    <w:p>
      <w:r>
        <w:t xml:space="preserve">§ 19 Absatz 3 gilt entsprechend.</w:t>
      </w:r>
    </w:p>
    <w:p>
      <w:r>
        <w:t xml:space="preserve">(3) Die sonstige Organisation für Herstellerverantwortung leistet gegenüber der Zentralen Stelle Verpackungsregister eine angemessene, insolvenzfeste Sicherheit für den Fall, dass sie oder die von ihr beauftragten Dritten Pflichten nach diesem Gesetz nicht, nicht vollständig oder nicht ordnungsgemäß erfüllen und den Herstellern, für die die sonstige Organisation für Herstellerverantwortung die erweiterte Herstellerverantwortung wahrnimmt oder sonstigen Wirtschaftsbeteiligten, mit denen die sonstige Organisation für Herstellerverantwortung vertragliche Vereinbarungen zur Abfallbewirtschaftung getroffen hat, dadurch zusätzliche Kosten entstehen. Angemessen im Sinne von Satz 1 ist die Sicherheitsleistung in der Regel, wenn der abzusichernde Zeitraum drei Monate nicht überschreitet. Ein Überschreiten des Regelzeitraumes bedarf einer gesonderten Begründung.</w:t>
      </w:r>
    </w:p>
    <w:p>
      <w:r>
        <w:t xml:space="preserve">(4) § 20 Absatz 3 und § 19 Absatz 5 gelten entsprechend.</w:t>
      </w:r>
    </w:p>
    <w:p>
      <w:r>
        <w:rPr>
          <w:color w:val="555555"/>
          <w:sz w:val="17"/>
        </w:rPr>
        <w:t xml:space="preserve">Zitiervorschlag: § 22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