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VerpackDG — Finanzielle Leistungsfähigkeit der Systeme</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Die Anforderungen an die finanzielle Leistungsfähigkeit nach § 20 Absatz 2 Satz 1 Nummer 4 sind erfüllt, wenn das System nachweist, dass es alle bestehenden und voraussichtlichen Verpflichtungen über einen Zeitraum von zwölf Monaten erfüllen kann. Die Pflicht zur Hinterlegung einer Sicherheitsleistung nach § 20 Absatz 2 Satz 1 Nummer 6 in Verbindung mit § 20 Absatz 4 bleibt unberührt.</w:t>
      </w:r>
    </w:p>
    <w:p>
      <w:r>
        <w:t xml:space="preserve">(2) Die zuständige Landesbehörde prüft die finanzielle Leistungsfähigkeit insbesondere anhand des handelsrechtlichen Jahresabschlusses des Systems oder, falls ein System keinen handelsrechtlichen Jahresabschluss vorlegen kann, anhand einer Bilanz und Gewinn- und Verlustrechnung des Systems sowie in beiden Fällen zusätzlich anhand eines handelsrechtlichen Prüfungsberichts. Ist das System in einen Konzern eingebunden, ist ebenfalls der Konzernjahresabschluss vorzulegen.</w:t>
      </w:r>
    </w:p>
    <w:p>
      <w:r>
        <w:t xml:space="preserve">(3) Jedes System hat gegenüber der zuständigen Landesbehörde zur Prüfung der finanziellen Leistungsfähigkeit mindestens die folgenden Angaben zu machen:</w:t>
      </w:r>
    </w:p>
    <w:p>
      <w:pPr>
        <w:ind w:left="420"/>
      </w:pPr>
      <w:r>
        <w:t xml:space="preserve">1. verfügbare Finanzmittel einschließlich Bankguthaben sowie zugesagte Überziehungskredite und Darlehen,</w:t>
      </w:r>
    </w:p>
    <w:p>
      <w:pPr>
        <w:ind w:left="420"/>
      </w:pPr>
      <w:r>
        <w:t xml:space="preserve">2. als Sicherheit verfügbare Mittel und Vermögensgegenstände,</w:t>
      </w:r>
    </w:p>
    <w:p>
      <w:pPr>
        <w:ind w:left="420"/>
      </w:pPr>
      <w:r>
        <w:t xml:space="preserve">3. Betriebskapital,</w:t>
      </w:r>
    </w:p>
    <w:p>
      <w:pPr>
        <w:ind w:left="420"/>
      </w:pPr>
      <w:r>
        <w:t xml:space="preserve">4. Belastungen des Betriebsvermögens und</w:t>
      </w:r>
    </w:p>
    <w:p>
      <w:pPr>
        <w:ind w:left="420"/>
      </w:pPr>
      <w:r>
        <w:t xml:space="preserve">5. Steuern und Sozialversicherungsbeiträge.</w:t>
      </w:r>
    </w:p>
    <w:p>
      <w:r>
        <w:t xml:space="preserve">Die zuständige Landesbehörde kann von dem System die Übermittlung weiterer für die Prüfung im Einzelfall erforderlicher Unterlagen verlangen, insbesondere die Vorlage weiterer Prüfberichte, eines Rückstellungsspiegels, geeigneter Unterlagen einer Bank, einer öffentlichen Sparkasse, eines Wirtschaftsprüfers oder eines vereidigten Buchprüfers. Die zuständige Landesbehörde übermittelt der Zentralen Stelle Verpackungsregister die Unterlagen zum Nachweis der finanziellen Leistungsfähigkeit des Systems und kann dabei von der Zentralen Stelle Verpackungsregister eine Einschätzung zur finanziellen Leistungsfähigkeit des Systems anfordern.</w:t>
      </w:r>
    </w:p>
    <w:p>
      <w:r>
        <w:t xml:space="preserve">(4) Die finanzielle Leistungsfähigkeit eines Systems ist nicht gegeben, wenn ein Insolvenzverfahren über dieses System eröffnet worden ist oder in erheblichem Umfang oder wiederholt Rückstände an Steuern oder Sozialversicherungsbeiträgen bestehen, die aus der Unternehmenstätigkeit resultieren.</w:t>
      </w:r>
    </w:p>
    <w:p>
      <w:r>
        <w:rPr>
          <w:color w:val="555555"/>
          <w:sz w:val="17"/>
        </w:rPr>
        <w:t xml:space="preserve">Zitiervorschlag: § 21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