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VerpackDG — Kontrolle der Einhaltung des Schwermetallgrenzwertes bei Glasverpackungen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Überschreitet die durchschnittliche Schwermetallkonzentration aus in zwölf aufeinander folgenden Monaten durchgeführten monatlichen Kontrollen der Produktion jedes einzelnen Glasofens, die repräsentativ für die normale und regelmäßige Produktionstätigkeit sind, den Grenzwert von 200 Milligramm je Kilogramm, so hat der Hersteller oder sein bevollmächtigter Vertreter der zuständigen Behörde einen Bericht vorzulegen. Dieser Bericht muss mindestens enthalten:</w:t>
      </w:r>
    </w:p>
    <w:p>
      <w:pPr>
        <w:ind w:left="420"/>
      </w:pPr>
      <w:r>
        <w:t xml:space="preserve">1. Angaben zu den Messwerten,</w:t>
      </w:r>
    </w:p>
    <w:p>
      <w:pPr>
        <w:ind w:left="420"/>
      </w:pPr>
      <w:r>
        <w:t xml:space="preserve">2. eine Beschreibung der verwendeten Messmethode,</w:t>
      </w:r>
    </w:p>
    <w:p>
      <w:pPr>
        <w:ind w:left="420"/>
      </w:pPr>
      <w:r>
        <w:t xml:space="preserve">3. Angaben zu mutmaßlichen Quellen für die Präsenz der Schwermetallkonzentrationsgrenzwerte und</w:t>
      </w:r>
    </w:p>
    <w:p>
      <w:pPr>
        <w:ind w:left="420"/>
      </w:pPr>
      <w:r>
        <w:t xml:space="preserve">4. eine eingehende Beschreibung der zur Verringerung der Konzentrationsgrenzwerte getroffenen Maßnahmen.</w:t>
      </w:r>
    </w:p>
    <w:p>
      <w:r>
        <w:t xml:space="preserve">(2) Die Messergebnisse aus Produktionsstätten und die Beschreibung der verwendeten Messmethoden sind mindestens drei Jahre lang aufzubewahren und der zuständigen Behörde auf Verlangen vorzulegen.</w:t>
      </w:r>
    </w:p>
    <w:p>
      <w:r>
        <w:rPr>
          <w:color w:val="555555"/>
          <w:sz w:val="17"/>
        </w:rPr>
        <w:t xml:space="preserve">Zitiervorschlag: § 18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