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VerpackDG — Ausnahme von Artikel 5 Absatz 4 der Verordnung (EU) 2025/40 für bestimmte Glasverpackungen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 Beschränkung des Inverkehrbringens nach Artikel 15 Absatz 1, auch in Verbindung mit Artikel 15 Absatz 12 oder Artikel 21, oder nach Artikel 18 Absatz 1 wegen eines Verstoßes gegen Artikel 5 Absatz 4 der Verordnung (EU) 2025/40 gilt im Bundesgebiet nicht für aus Glas hergestellte Verpackungen,</w:t>
      </w:r>
    </w:p>
    <w:p>
      <w:pPr>
        <w:ind w:left="420"/>
      </w:pPr>
      <w:r>
        <w:t xml:space="preserve">1. bei welchen die Konzentration von Blei, Cadmium, Quecksilber und Chrom VI kumulativ den Wert von 250 Milligramm je Kilogramm nicht überschreitet,</w:t>
      </w:r>
    </w:p>
    <w:p>
      <w:pPr>
        <w:ind w:left="420"/>
      </w:pPr>
      <w:r>
        <w:t xml:space="preserve">2. bei deren Fertigung Blei, Cadmium, Quecksilber und Chrom VI nicht bewusst als Bestandteil hinzugegeben wurden,</w:t>
      </w:r>
    </w:p>
    <w:p>
      <w:pPr>
        <w:ind w:left="420"/>
      </w:pPr>
      <w:r>
        <w:t xml:space="preserve">3. bei welchen die Überschreitung des Grenzwerts nach Artikel 5 Absatz 4 der Verordnung (EU) 2025/40 auf den Einsatz von Sekundärrohstoffen zurückzuführen ist und</w:t>
      </w:r>
    </w:p>
    <w:p>
      <w:pPr>
        <w:ind w:left="420"/>
      </w:pPr>
      <w:r>
        <w:t xml:space="preserve">4. deren Erzeuger, Importeure oder Vertreiber die Anforderungen nach § 18 einhalten.</w:t>
      </w:r>
    </w:p>
    <w:p>
      <w:r>
        <w:rPr>
          <w:color w:val="555555"/>
          <w:sz w:val="17"/>
        </w:rPr>
        <w:t xml:space="preserve">Zitiervorschlag: § 17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