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VerpackDG — Systemanforderungen hinsichtlich Rückgabe und Entsorgung von schwermetallhaltigen Kunststoffkästen und -paletten</w:t>
      </w:r>
    </w:p>
    <w:p>
      <w:r>
        <w:rPr>
          <w:color w:val="555555"/>
          <w:sz w:val="18"/>
        </w:rPr>
        <w:t xml:space="preserve">Verpackungsrecht-Durchführungsgesetz</w:t>
      </w:r>
    </w:p>
    <w:p>
      <w:r>
        <w:rPr>
          <w:color w:val="555555"/>
          <w:sz w:val="18"/>
        </w:rPr>
        <w:t xml:space="preserve">Stand: 12.08.2026 (konsolidierte Textfassung, kein amtliches Inkrafttretensdatum)</w:t>
      </w:r>
    </w:p>
    <w:p>
      <w:r>
        <w:t xml:space="preserve">(1) Kunststoffkästen und -paletten nach § 14 müssen einem Bestandserfassungs- und Kontrollsystem unterliegen. Dieses muss auch über die rechtliche und finanzielle Rechenschaftspflicht des Herstellers oder seines bevollmächtigten Vertreters Aufschluss geben und eine Pflicht zum Nachweis der Einhaltung der Anforderungen nach § 14 und nach dieser Vorschrift, einschließlich der Rückgabequote, vorsehen. Diese Quote soll so hoch wie möglich sein und darf über die Lebensdauer der Kunststoffkästen und -paletten insgesamt gerechnet keinesfalls unter 90 Prozent liegen. Dieses Bestandserfassungs- und Kontrollsystem soll alle im Bundesgebiet bereitgestellten und aus dem Verkehr gezogenen wiederverwendbaren Kunststoffkästen und -paletten erfassen.</w:t>
      </w:r>
    </w:p>
    <w:p>
      <w:r>
        <w:t xml:space="preserve">(2) Die nach Absatz 1 Satz 2 nachzuweisende Rückgabequote ist der prozentuale Anteil an wiederverwendbaren Kunststoffkästen und -paletten, die nach Gebrauch nicht ausgesondert, sondern an ihre Erzeuger, Importeure oder Vertreiber oder an einen bevollmächtigten Vertreter zurückgegeben werden.</w:t>
      </w:r>
    </w:p>
    <w:p>
      <w:r>
        <w:t xml:space="preserve">(3) Durch das Bestandserfassungs- und Kontrollsystem nach Absatz 1 Satz 1 muss sichergestellt werden, dass zurückgegebene Kunststoffkästen und -paletten, die nicht wiederverwendet werden können, entweder einem Verfahren der stofflichen Verwertung unterzogen werden, bei dem Kunststoffkästen und -paletten nach § 14 hergestellt werden, oder gemeinwohlverträglich beseitigt werden.</w:t>
      </w:r>
    </w:p>
    <w:p>
      <w:r>
        <w:rPr>
          <w:color w:val="555555"/>
          <w:sz w:val="17"/>
        </w:rPr>
        <w:t xml:space="preserve">Zitiervorschlag: § 15 VerpackDG</w:t>
      </w:r>
    </w:p>
    <w:p>
      <w:r>
        <w:rPr>
          <w:color w:val="555555"/>
          <w:sz w:val="17"/>
        </w:rPr>
        <w:t xml:space="preserve">Quelle: Bundesamt für Justiz, abgerufen 12.08.2026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https://recht.nulegal.eu/gesetze/VerpackDG/15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