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VerpackDG — Ausnahme von Artikel 5 Absatz 4 der Verordnung (EU) 2025/40 für schwermetallhaltige Kunststoffkästen und -paletten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Die Beschränkung des Inverkehrbringens nach Artikel 15 Absatz 1, auch in Verbindung mit Artikel 15 Absatz 12 oder Artikel 21, oder nach Artikel 18 Absatz 1 wegen eines Verstoßes gegen Artikel 5 Absatz 4 der Verordnung (EU) 2025/40 gilt im Bundesgebiet nicht für Kunststoffkästen und -paletten,</w:t>
      </w:r>
    </w:p>
    <w:p>
      <w:pPr>
        <w:ind w:left="420"/>
      </w:pPr>
      <w:r>
        <w:t xml:space="preserve">1. bei welchen die Überschreitung des Grenzwertes nach Artikel 5 Absatz 4 der Verordnung (EU) 2025/40 allein auf den Einsatz von Sekundärrohstoffen zurückzuführen ist,</w:t>
      </w:r>
    </w:p>
    <w:p>
      <w:pPr>
        <w:ind w:left="420"/>
      </w:pPr>
      <w:r>
        <w:t xml:space="preserve">2. die in geschlossenen und kontrollierten Produktkreisläufen zirkulieren,</w:t>
      </w:r>
    </w:p>
    <w:p>
      <w:pPr>
        <w:ind w:left="420"/>
      </w:pPr>
      <w:r>
        <w:t xml:space="preserve">3. für die ein Bestandserfassungs- und Kontrollsystem nach § 15 eingerichtet ist,</w:t>
      </w:r>
    </w:p>
    <w:p>
      <w:pPr>
        <w:ind w:left="420"/>
      </w:pPr>
      <w:r>
        <w:t xml:space="preserve">4. deren Herstellung in einem kontrollierten Verfahren der stofflichen Verwertung erfolgt, bei dem der Sekundärrohstoff ausschließlich aus Kunststoffkästen und -paletten stammt und die Zugabe von Stoffen, die nicht aus dem Kreislauf stammen, auf das technisch mögliche Mindestmaß, höchstens jedoch auf 20 Masseprozent, beschränkt bleibt,</w:t>
      </w:r>
    </w:p>
    <w:p>
      <w:pPr>
        <w:ind w:left="420"/>
      </w:pPr>
      <w:r>
        <w:t xml:space="preserve">5. in welchen Blei, Cadmium, Quecksilber und Chrom VI weder bei der Fertigung noch beim Vertrieb bewusst als Bestandteil hinzugegeben wurden, wobei die zufällige Präsenz eines dieser Stoffe hiervon unberührt bleibt, und</w:t>
      </w:r>
    </w:p>
    <w:p>
      <w:pPr>
        <w:ind w:left="420"/>
      </w:pPr>
      <w:r>
        <w:t xml:space="preserve">6. bei der Neuherstellung dauerhaft und sichtbar gekennzeichnet wurden.</w:t>
      </w:r>
    </w:p>
    <w:p>
      <w:r>
        <w:rPr>
          <w:color w:val="555555"/>
          <w:sz w:val="17"/>
        </w:rPr>
        <w:t xml:space="preserve">Zitiervorschlag: § 14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