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VerpackDG — Beschränkungen der Bereitstellung bestimmter Verpackungen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Endvertreibern ist die Bereitstellung im Bundesgebiet von leichten Kunststofftragetaschen, die dazu bestimmt sind, in der Verkaufsstelle mit Waren befüllt zu werden, verboten. Satz 1 gilt nicht für sehr leichte Kunststofftragetaschen, die aus Hygienegründen erforderlich sind oder als Verkaufsverpackung für lose Lebensmittel bereitgestellt werden, um Lebensmittelverschwendung zu verhindern.</w:t>
      </w:r>
    </w:p>
    <w:p>
      <w:r>
        <w:t xml:space="preserve">(2) Beschränkungen des Inverkehrbringens von Verpackungen nach § 3 der Einwegkunststoffverbotsverordnung bleiben unberührt.</w:t>
      </w:r>
    </w:p>
    <w:p>
      <w:r>
        <w:t xml:space="preserve">(3) Verpackungen sind so zu entwickeln, herzustellen und zu vertreiben, dass Verpackungsvolumen und -masse auf das Mindestmaß begrenzt werden, das zur Gewährleistung der erforderlichen Sicherheit und Hygiene der zu verpackenden Ware und zu deren Akzeptanz durch den Verbraucher angemessen ist.</w:t>
      </w:r>
    </w:p>
    <w:p>
      <w:r>
        <w:rPr>
          <w:color w:val="555555"/>
          <w:sz w:val="17"/>
        </w:rPr>
        <w:t xml:space="preserve">Zitiervorschlag: § 12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