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VerpackDG — Anwendungsbereich</w:t>
      </w:r>
    </w:p>
    <w:p>
      <w:r>
        <w:rPr>
          <w:color w:val="555555"/>
          <w:sz w:val="18"/>
        </w:rPr>
        <w:t xml:space="preserve">Verpackungsrecht-Durchführungsgesetz</w:t>
      </w:r>
    </w:p>
    <w:p>
      <w:r>
        <w:rPr>
          <w:color w:val="555555"/>
          <w:sz w:val="18"/>
        </w:rPr>
        <w:t xml:space="preserve">Stand: 12.08.2026 (konsolidierte Textfassung, kein amtliches Inkrafttretensdatum)</w:t>
      </w:r>
    </w:p>
    <w:p>
      <w:r>
        <w:t xml:space="preserve">Dieses Gesetz ist anzuwenden auf Verpackungen im Anwendungsbereich der Verordnung (EU) 2025/40.</w:t>
      </w:r>
    </w:p>
    <w:p>
      <w:r>
        <w:rPr>
          <w:color w:val="555555"/>
          <w:sz w:val="17"/>
        </w:rPr>
        <w:t xml:space="preserve">Zitiervorschlag: § 1 VerpackDG</w:t>
      </w:r>
    </w:p>
    <w:p>
      <w:r>
        <w:rPr>
          <w:color w:val="555555"/>
          <w:sz w:val="17"/>
        </w:rPr>
        <w:t xml:space="preserve">Quelle: Bundesamt für Justiz, abgerufen 12.08.2026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https://recht.nulegal.eu/gesetze/VerpackDG/1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