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VermittVergV — Inkrafttreten</w:t>
      </w:r>
    </w:p>
    <w:p>
      <w:r>
        <w:rPr>
          <w:color w:val="555555"/>
          <w:sz w:val="18"/>
        </w:rPr>
        <w:t xml:space="preserve">Vermittler-Vergütungsverordnung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27. März 2002 in Kraft.</w:t>
      </w:r>
    </w:p>
    <w:p>
      <w:r>
        <w:rPr>
          <w:color w:val="555555"/>
          <w:sz w:val="17"/>
        </w:rPr>
        <w:t xml:space="preserve">Zitiervorschlag: § 4 VermittVergV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https://recht.nulegal.eu/gesetze/VermittVergV/4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