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VermittVergV — Übergangsregelung</w:t>
      </w:r>
    </w:p>
    <w:p>
      <w:r>
        <w:rPr>
          <w:color w:val="555555"/>
          <w:sz w:val="18"/>
        </w:rPr>
        <w:t xml:space="preserve">Vermittler-Vergütungsverordnung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Vereinbarungen, die in der Zeit vom 27. März 2002 bis zum Tag der Verkündung dieser Verordnung abgeschlossen werden und eine Vergütung vorsehen, die nach § 296 Abs. 3 des Dritten Buches Sozialgesetzbuch zulässig ist, bleiben auch dann wirksam, wenn die Vergütung die nach dieser Verordnung zulässige Höhe übersteigt.</w:t>
      </w:r>
    </w:p>
    <w:p>
      <w:r>
        <w:rPr>
          <w:color w:val="555555"/>
          <w:sz w:val="17"/>
        </w:rPr>
        <w:t xml:space="preserve">Zitiervorschlag: § 3 VermittVergV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https://recht.nulegal.eu/gesetze/VermittVergV/3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