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VermittVergV — Berufe und Personengruppen</w:t>
      </w:r>
    </w:p>
    <w:p>
      <w:r>
        <w:rPr>
          <w:color w:val="555555"/>
          <w:sz w:val="18"/>
        </w:rPr>
        <w:t xml:space="preserve">Vermittler-Vergütungsverordnung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Vermittlung in eine Tätigkeit als</w:t>
      </w:r>
    </w:p>
    <w:p>
      <w:pPr>
        <w:ind w:left="420"/>
      </w:pPr>
      <w:r>
        <w:t xml:space="preserve">1. Künstler, Artist,</w:t>
      </w:r>
    </w:p>
    <w:p>
      <w:pPr>
        <w:ind w:left="420"/>
      </w:pPr>
      <w:r>
        <w:t xml:space="preserve">2. Fotomodell, Werbetyp, Mannequin und Dressman,</w:t>
      </w:r>
    </w:p>
    <w:p>
      <w:pPr>
        <w:ind w:left="420"/>
      </w:pPr>
      <w:r>
        <w:t xml:space="preserve">3. Doppelgänger, Stuntman, Discjockey,</w:t>
      </w:r>
    </w:p>
    <w:p>
      <w:pPr>
        <w:ind w:left="420"/>
      </w:pPr>
      <w:r>
        <w:t xml:space="preserve">4. Berufssportler</w:t>
      </w:r>
    </w:p>
    <w:p>
      <w:r>
        <w:t xml:space="preserve">dürfen mit dem Arbeitnehmer Vergütungen vereinbart werden, die sich nach dem ihm zustehenden Arbeitsentgelt bemessen.</w:t>
      </w:r>
    </w:p>
    <w:p>
      <w:r>
        <w:rPr>
          <w:color w:val="555555"/>
          <w:sz w:val="17"/>
        </w:rPr>
        <w:t xml:space="preserve">Zitiervorschlag: § 1 VermittVergV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https://recht.nulegal.eu/gesetze/VermittVergV/1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