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VermVerkProspV — Angaben über die Vermögensanlagen</w:t>
      </w:r>
    </w:p>
    <w:p>
      <w:r>
        <w:rPr>
          <w:color w:val="555555"/>
          <w:sz w:val="18"/>
        </w:rPr>
        <w:t xml:space="preserve">Vermögensanlagen-Verkaufsprospektverordnung</w:t>
      </w:r>
    </w:p>
    <w:p>
      <w:r>
        <w:rPr>
          <w:color w:val="555555"/>
          <w:sz w:val="18"/>
        </w:rPr>
        <w:t xml:space="preserve">Stand: 14.09.2021 (konsolidierte Textfassung, kein amtliches Inkrafttretensdatum)</w:t>
      </w:r>
    </w:p>
    <w:p>
      <w:r>
        <w:t xml:space="preserve">Der Verkaufsprospekt muss über die Vermögensanlagen angeben:</w:t>
      </w:r>
    </w:p>
    <w:p>
      <w:pPr>
        <w:ind w:left="420"/>
      </w:pPr>
      <w:r>
        <w:t xml:space="preserve">1. Art, Anzahl und Gesamtbetrag der angebotenen Vermögensanlagen. Steht die Anzahl oder der Gesamtbetrag bei Hinterlegung des Verkaufsprospekts noch nicht fest, ist ein hervorgehobener Hinweis aufzunehmen, der eine Mindestanzahl und einen Mindestbetrag angibt;</w:t>
      </w:r>
    </w:p>
    <w:p>
      <w:pPr>
        <w:ind w:left="420"/>
      </w:pPr>
      <w:r>
        <w:t xml:space="preserve">1a. die Hauptmerkmale der Anteile der Anleger sowie abweichende Rechte der Gesellschafter des Emittenten zum Zeitpunkt der Prospektaufstellung; sofern ehemaligen Gesellschaftern Ansprüche aus ihrer Beteiligung beim Emittenten zustehen, sind diese zu beschreiben;</w:t>
      </w:r>
    </w:p>
    <w:p>
      <w:pPr>
        <w:ind w:left="420"/>
      </w:pPr>
      <w:r>
        <w:t xml:space="preserve">2. die wesentlichen Grundlagen der steuerlichen Konzeption der Vermögensanlage. Übernimmt der Emittent oder eine andere Person die Zahlung von Steuern für den Anleger, ist dies anzugeben;</w:t>
      </w:r>
    </w:p>
    <w:p>
      <w:pPr>
        <w:ind w:left="420"/>
      </w:pPr>
      <w:r>
        <w:t xml:space="preserve">3. wie die Vermögensanlagen übertragen werden können und in welcher Weise ihre freie Handelbarkeit eingeschränkt ist;</w:t>
      </w:r>
    </w:p>
    <w:p>
      <w:pPr>
        <w:ind w:left="420"/>
      </w:pPr>
      <w:r>
        <w:t xml:space="preserve">4. die Zahlstellen oder andere Stellen, die bestimmungsgemäß Zahlungen an den Anleger ausführen und an denen der Verkaufsprospekt, das Vermögensanlagen-Informationsblatt, der letzte veröffentlichte Jahresabschluss und der Lagebericht zur kostenlosen Ausgabe bereitgehalten werden;</w:t>
      </w:r>
    </w:p>
    <w:p>
      <w:pPr>
        <w:ind w:left="420"/>
      </w:pPr>
      <w:r>
        <w:t xml:space="preserve">5. die Einzelheiten der Zahlung des Zeichnungs- oder Erwerbspreises, insbesondere die Kontoverbindung;</w:t>
      </w:r>
    </w:p>
    <w:p>
      <w:pPr>
        <w:ind w:left="420"/>
      </w:pPr>
      <w:r>
        <w:t xml:space="preserve">6. die Stellen, die Zeichnungen oder auf den Erwerb von Anteilen oder Beteiligungen gerichtete Willenserklärungen des Publikums entgegennehmen;</w:t>
      </w:r>
    </w:p>
    <w:p>
      <w:pPr>
        <w:ind w:left="420"/>
      </w:pPr>
      <w:r>
        <w:t xml:space="preserve">7. eine für die Zeichnung oder den Erwerb der Vermögensanlagen vorgesehene Frist und die Möglichkeiten, diese vorzeitig zu schließen oder Zeichnungen, Anteile oder Beteiligungen zu kürzen;</w:t>
      </w:r>
    </w:p>
    <w:p>
      <w:pPr>
        <w:ind w:left="420"/>
      </w:pPr>
      <w:r>
        <w:t xml:space="preserve">8. die einzelnen Teilbeträge, falls das Angebot gleichzeitig in verschiedenen Staaten mit bestimmten Teilbeträgen erfolgt. Sind die Teilbeträge zum Zeitpunkt der Veröffentlichung des Prospekts noch nicht bekannt, ist anzugeben, in welchen Staaten das Angebot erfolgt;</w:t>
      </w:r>
    </w:p>
    <w:p>
      <w:pPr>
        <w:ind w:left="420"/>
      </w:pPr>
      <w:r>
        <w:t xml:space="preserve">9. den Erwerbspreis für die Vermögensanlagen oder, sofern er noch nicht bekannt ist, die Einzelheiten und den Zeitplan für seine Festsetzung;</w:t>
      </w:r>
    </w:p>
    <w:p>
      <w:pPr>
        <w:ind w:left="420"/>
      </w:pPr>
      <w:r>
        <w:t xml:space="preserve">10. an einer hervorgehobenen Stelle im Verkaufsprospekt die für den Anleger entstehenden weiteren Kosten, insbesondere solche Kosten, die mit dem Erwerb, der Verwaltung und der Veräußerung der Vermögensanlage verbunden sind;</w:t>
      </w:r>
    </w:p>
    <w:p>
      <w:pPr>
        <w:ind w:left="420"/>
      </w:pPr>
      <w:r>
        <w:t xml:space="preserve">11. an einer hervorgehobenen Stelle im Verkaufsprospekt, unter welchen Umständen der Erwerber der Vermögensanlagen verpflichtet ist, weitere Leistungen zu erbringen, insbesondere unter welchen Umständen er haftet, und dass keine Pflicht zur Zahlung von Nachschüssen besteht;</w:t>
      </w:r>
    </w:p>
    <w:p>
      <w:pPr>
        <w:ind w:left="420"/>
      </w:pPr>
      <w:r>
        <w:t xml:space="preserve">12. an einer hervorgehobenen Stelle im Verkaufsprospekt, in welcher Gesamthöhe Provisionen geleistet werden, insbesondere Vermittlungsprovisionen oder vergleichbare Vergütungen; dabei ist die Provision als absoluter Betrag anzugeben sowie als Prozentangabe in Bezug auf den Gesamtbetrag der angebotenen Vermögensanlagen;</w:t>
      </w:r>
    </w:p>
    <w:p>
      <w:pPr>
        <w:ind w:left="420"/>
      </w:pPr>
      <w:r>
        <w:t xml:space="preserve">13. an einer hervorgehobenen Stelle im Verkaufsprospekt die wesentlichen Grundlagen und Bedingungen der Verzinsung und Rückzahlung;</w:t>
      </w:r>
    </w:p>
    <w:p>
      <w:pPr>
        <w:ind w:left="420"/>
      </w:pPr>
      <w:r>
        <w:t xml:space="preserve">14. die Laufzeit sowie die Kündigungsfrist nach Maßgabe des § 5a des Vermögensanlagengesetzes;</w:t>
      </w:r>
    </w:p>
    <w:p>
      <w:pPr>
        <w:ind w:left="420"/>
      </w:pPr>
      <w:r>
        <w:t xml:space="preserve">15. die Anlegergruppe, auf die die Vermögensanlage abzielt, vor allem im Hinblick auf den Anlagehorizont des Anlegers und seine Fähigkeit, Verluste, die sich aus der Vermögensanlage ergeben können, zu tragen und</w:t>
      </w:r>
    </w:p>
    <w:p>
      <w:pPr>
        <w:ind w:left="420"/>
      </w:pPr>
      <w:r>
        <w:t xml:space="preserve">16. an einer hervorgehobenen Stelle im Verkaufsprospekt, dass die Vermögensanlage ausschließlich im Wege der Anlagevermittlung oder Anlageberatung durch ein Wertpapierdienstleistungsunternehmen oder einen Finanzanlagenvermittler vertrieben wird.</w:t>
      </w:r>
    </w:p>
    <w:p>
      <w:r>
        <w:t xml:space="preserve">Unbeschadet der Angaben zu den rechtlichen Verhältnissen sind bei Beteiligungen am Ergebnis eines Unternehmens im Sinne des § 1 Absatz 2 Nummer 1 des Vermögensanlagengesetzes der Gesellschaftsvertrag, die Satzung, der Beteiligungsvertrag oder der sonstige für das Anlageverhältnis maßgebliche Vertrag beizufügen; bei Treuhandvermögen im Sinne des § 1 Absatz 2 Nummer 2 des Vermögensanlagengesetzes ist der Treuhandvertrag als Teil des Prospekts beizufügen. Ebenso sind der Vertrag über die Mittelverwendungskontrolle und der letzte für die konkrete Vermögensanlage nach § 5c Absatz 2 des Vermögensanlagengesetzes festgestellte und veröffentlichte Bericht des Mittelverwendungskontrolleurs beizufügen.</w:t>
      </w:r>
    </w:p>
    <w:p>
      <w:r>
        <w:rPr>
          <w:color w:val="555555"/>
          <w:sz w:val="17"/>
        </w:rPr>
        <w:t xml:space="preserve">Zitiervorschlag: § 4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