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VermVerkProspV — Inkrafttreten</w:t>
      </w:r>
    </w:p>
    <w:p>
      <w:r>
        <w:rPr>
          <w:color w:val="555555"/>
          <w:sz w:val="18"/>
        </w:rPr>
        <w:t xml:space="preserve">Vermögensanlagen-Verkaufsprospektverordnung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Juli 2005 in Kraft.</w:t>
      </w:r>
    </w:p>
    <w:p>
      <w:r>
        <w:rPr>
          <w:color w:val="555555"/>
          <w:sz w:val="17"/>
        </w:rPr>
        <w:t xml:space="preserve">Zitiervorschlag: § 16 VermVerkProspV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https://recht.nulegal.eu/gesetze/VermVerkProspV/16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